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333-296411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107315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PLUS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33-0827593</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6420 Levit Green Boulevard,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255-7194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Sims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6420 Levit Green Boulevard, Suite 310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255-7194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E. Danovitch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E. Chambers, Jr.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Sullivan &amp; Worcester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660-3060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9"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6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107315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99060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17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Pre-Effective Amendment No. 1 (this “Amendment”) to the Registration Statement on Form S-3 (File No. 333-296411) of Plus Therapeutics, Inc. (the “Company”) is being filed as an exhibits-only filing solely to file a form of indenture (the “Form of Indenture”) as Exhibit 4.3. Accordingly, this Amendment consists only of the facing page, this explanatory note, Item 16 of Part II of the Registration Statement, the signature page to the Registration Statement and the Form of Indenture. The prospectus, the prospectus supplement and the balance of Part II of the Registration Statement are unchanged and have been omitted.</w:t>
      </w:r>
    </w:p>
    <w:p>
      <w:pPr>
        <w:sectPr>
          <w:pgSz w:w="11900" w:h="16838" w:orient="portrait"/>
          <w:cols w:equalWidth="0" w:num="1">
            <w:col w:w="10860"/>
          </w:cols>
          <w:pgMar w:left="440" w:top="266" w:right="5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79"/>
        </w:trPr>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20" w:type="dxa"/>
            <w:vAlign w:val="bottom"/>
            <w:vMerge w:val="restart"/>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vMerge w:val="restart"/>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73"/>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S-3</w:t>
            </w:r>
          </w:p>
        </w:tc>
        <w:tc>
          <w:tcPr>
            <w:tcW w:w="28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5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Equity Distribution Agreement, by and between the Company and Canaccord</w:t>
              </w:r>
            </w:hyperlink>
          </w:p>
        </w:tc>
        <w:tc>
          <w:tcPr>
            <w:tcW w:w="780" w:type="dxa"/>
            <w:vAlign w:val="bottom"/>
            <w:gridSpan w:val="5"/>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80" w:type="dxa"/>
            <w:vAlign w:val="bottom"/>
            <w:gridSpan w:val="1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Genuity LLC, dated as of June 1, 2026.</w:t>
              </w:r>
            </w:hyperlink>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440" w:type="dxa"/>
            <w:vAlign w:val="bottom"/>
            <w:gridSpan w:val="3"/>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333-296411</w:t>
            </w:r>
          </w:p>
        </w:tc>
        <w:tc>
          <w:tcPr>
            <w:tcW w:w="9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06/02/2026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28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Composite Certificate of Incorporation</w:t>
              </w:r>
            </w:hyperlink>
          </w:p>
        </w:tc>
        <w:tc>
          <w:tcPr>
            <w:tcW w:w="35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10-K</w:t>
            </w:r>
          </w:p>
        </w:tc>
        <w:tc>
          <w:tcPr>
            <w:tcW w:w="16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03/11/2016</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Amendment to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05/10/2016</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Certificate of Amendment to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05/23/2018</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Amendment to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07/29/2019</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Amendment to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08/06/2019</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Certificate of Amendment to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04/28/2023</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Amendment to the Certificate of Incorporation, as amended</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05/02/2025</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Certificate of Amendment to the Amended and Restated Certificate of Incorporation,</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2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filed with the Delaware Secretary of State on April 1, 2026</w:t>
              </w:r>
            </w:hyperlink>
          </w:p>
        </w:tc>
        <w:tc>
          <w:tcPr>
            <w:tcW w:w="2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60" w:type="dxa"/>
            <w:vAlign w:val="bottom"/>
          </w:tcPr>
          <w:p>
            <w:pPr>
              <w:spacing w:after="0"/>
              <w:rPr>
                <w:sz w:val="17"/>
                <w:szCs w:val="17"/>
                <w:color w:val="auto"/>
              </w:rPr>
            </w:pPr>
          </w:p>
        </w:tc>
        <w:tc>
          <w:tcPr>
            <w:tcW w:w="12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Exhibit 3.8</w:t>
            </w:r>
          </w:p>
        </w:tc>
        <w:tc>
          <w:tcPr>
            <w:tcW w:w="9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w w:val="97"/>
              </w:rPr>
              <w:t>05/15/2026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Correction to the Amended and Restated Certificate filed with the</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Delaware Secretary of State on May 12, 2026</w:t>
              </w:r>
            </w:hyperlink>
          </w:p>
        </w:tc>
        <w:tc>
          <w:tcPr>
            <w:tcW w:w="2440" w:type="dxa"/>
            <w:vAlign w:val="bottom"/>
            <w:tcBorders>
              <w:top w:val="single" w:sz="8" w:color="0000EE"/>
            </w:tcBorders>
            <w:gridSpan w:val="6"/>
          </w:tcPr>
          <w:p>
            <w:pPr>
              <w:spacing w:after="0"/>
              <w:rPr>
                <w:sz w:val="17"/>
                <w:szCs w:val="17"/>
                <w:color w:val="auto"/>
              </w:rPr>
            </w:pPr>
          </w:p>
        </w:tc>
        <w:tc>
          <w:tcPr>
            <w:tcW w:w="6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60" w:type="dxa"/>
            <w:vAlign w:val="bottom"/>
          </w:tcPr>
          <w:p>
            <w:pPr>
              <w:spacing w:after="0"/>
              <w:rPr>
                <w:sz w:val="17"/>
                <w:szCs w:val="17"/>
                <w:color w:val="auto"/>
              </w:rPr>
            </w:pPr>
          </w:p>
        </w:tc>
        <w:tc>
          <w:tcPr>
            <w:tcW w:w="12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Exhibit 3.9</w:t>
            </w:r>
          </w:p>
        </w:tc>
        <w:tc>
          <w:tcPr>
            <w:tcW w:w="9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w w:val="97"/>
              </w:rPr>
              <w:t>05/15/2026</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tcPr>
          <w:p>
            <w:pPr>
              <w:spacing w:after="0"/>
              <w:rPr>
                <w:sz w:val="24"/>
                <w:szCs w:val="24"/>
                <w:color w:val="auto"/>
              </w:rPr>
            </w:pPr>
          </w:p>
        </w:tc>
        <w:tc>
          <w:tcPr>
            <w:tcW w:w="5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Certificate of Designation of Preferences, Rights and Limitations of Series B</w:t>
              </w:r>
            </w:hyperlink>
          </w:p>
        </w:tc>
        <w:tc>
          <w:tcPr>
            <w:tcW w:w="84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8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Convertible Preferred Stock</w:t>
              </w:r>
            </w:hyperlink>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17"/>
                <w:szCs w:val="17"/>
                <w:color w:val="auto"/>
              </w:rPr>
            </w:pPr>
          </w:p>
        </w:tc>
        <w:tc>
          <w:tcPr>
            <w:tcW w:w="1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w w:val="95"/>
              </w:rPr>
              <w:t>11/28/2017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5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Certificate of Designation of Preferences, Rights and Limitations of Series C</w:t>
              </w:r>
            </w:hyperlink>
          </w:p>
        </w:tc>
        <w:tc>
          <w:tcPr>
            <w:tcW w:w="84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80" w:type="dxa"/>
            <w:vAlign w:val="bottom"/>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Convertible Preferred Stock</w:t>
              </w:r>
            </w:hyperlink>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17"/>
                <w:szCs w:val="17"/>
                <w:color w:val="auto"/>
              </w:rPr>
            </w:pPr>
          </w:p>
        </w:tc>
        <w:tc>
          <w:tcPr>
            <w:tcW w:w="1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07/25/2018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Amended and Restated Bylaws of Plus Therapeutics, Inc.</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3.1</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09/21/2021</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Common Stock Certificate</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001-34375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10-K</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4.33</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03/09/2018</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6380" w:type="dxa"/>
            <w:vAlign w:val="bottom"/>
            <w:gridSpan w:val="1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Common Stock Purchase Warrant</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333-292637</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4.4</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01/09/2026</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63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Indenture</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II-1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6" w:right="5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4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00" w:type="dxa"/>
            <w:vAlign w:val="bottom"/>
            <w:gridSpan w:val="7"/>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2"/>
                <w:szCs w:val="22"/>
                <w:color w:val="auto"/>
              </w:rPr>
            </w:pPr>
          </w:p>
        </w:tc>
        <w:tc>
          <w:tcPr>
            <w:tcW w:w="502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Opinion of Sullivan &amp; Worcester LLP relating to the base prospectus.</w:t>
              </w:r>
            </w:hyperlink>
          </w:p>
        </w:tc>
        <w:tc>
          <w:tcPr>
            <w:tcW w:w="1580" w:type="dxa"/>
            <w:vAlign w:val="bottom"/>
            <w:tcBorders>
              <w:top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24"/>
                <w:szCs w:val="24"/>
                <w:color w:val="auto"/>
              </w:rPr>
            </w:pPr>
          </w:p>
        </w:tc>
        <w:tc>
          <w:tcPr>
            <w:tcW w:w="61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Opinion of Sullivan &amp; Worcester LLP relating to the “equity distribution agreement”</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prospectus supplement.</w:t>
              </w:r>
            </w:hyperlink>
          </w:p>
        </w:tc>
        <w:tc>
          <w:tcPr>
            <w:tcW w:w="4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24"/>
                <w:szCs w:val="24"/>
                <w:color w:val="auto"/>
              </w:rPr>
            </w:pPr>
          </w:p>
        </w:tc>
        <w:tc>
          <w:tcPr>
            <w:tcW w:w="5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Consent of CBIZ CPAs, P.C., Independent Registered Public Accounting Firm.</w:t>
              </w:r>
            </w:hyperlink>
          </w:p>
        </w:tc>
        <w:tc>
          <w:tcPr>
            <w:tcW w:w="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Consent of BDO USA, P.C., Independent Registered Public Accounting Firm.</w:t>
              </w:r>
            </w:hyperlink>
          </w:p>
        </w:tc>
        <w:tc>
          <w:tcPr>
            <w:tcW w:w="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40" w:type="dxa"/>
            <w:vAlign w:val="bottom"/>
          </w:tcPr>
          <w:p>
            <w:pPr>
              <w:spacing w:after="0"/>
              <w:rPr>
                <w:sz w:val="24"/>
                <w:szCs w:val="24"/>
                <w:color w:val="auto"/>
              </w:rPr>
            </w:pPr>
          </w:p>
        </w:tc>
        <w:tc>
          <w:tcPr>
            <w:tcW w:w="5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Consent of Sullivan &amp; Worcester LLP (included in Exhibit 5.1 hereto).</w:t>
              </w:r>
            </w:hyperlink>
          </w:p>
        </w:tc>
        <w:tc>
          <w:tcPr>
            <w:tcW w:w="1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440" w:type="dxa"/>
            <w:vAlign w:val="bottom"/>
          </w:tcPr>
          <w:p>
            <w:pPr>
              <w:spacing w:after="0"/>
              <w:rPr>
                <w:sz w:val="24"/>
                <w:szCs w:val="24"/>
                <w:color w:val="auto"/>
              </w:rPr>
            </w:pPr>
          </w:p>
        </w:tc>
        <w:tc>
          <w:tcPr>
            <w:tcW w:w="6600" w:type="dxa"/>
            <w:vAlign w:val="bottom"/>
            <w:gridSpan w:val="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Consent of Sullivan &amp; Worcester LLP (included in Exhibit 5.2 hereto).</w:t>
              </w:r>
            </w:hyperlink>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spacing w:after="0"/>
              <w:rPr>
                <w:sz w:val="24"/>
                <w:szCs w:val="24"/>
                <w:color w:val="auto"/>
              </w:rPr>
            </w:pPr>
          </w:p>
        </w:tc>
        <w:tc>
          <w:tcPr>
            <w:tcW w:w="13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Power of Attorney.</w:t>
              </w:r>
            </w:hyperlink>
          </w:p>
        </w:tc>
        <w:tc>
          <w:tcPr>
            <w:tcW w:w="3720" w:type="dxa"/>
            <w:vAlign w:val="bottom"/>
            <w:tcBorders>
              <w:top w:val="single" w:sz="8" w:color="0000EE"/>
            </w:tcBorders>
            <w:gridSpan w:val="3"/>
          </w:tcPr>
          <w:p>
            <w:pPr>
              <w:spacing w:after="0"/>
              <w:rPr>
                <w:sz w:val="24"/>
                <w:szCs w:val="24"/>
                <w:color w:val="auto"/>
              </w:rPr>
            </w:pPr>
          </w:p>
        </w:tc>
        <w:tc>
          <w:tcPr>
            <w:tcW w:w="1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944" w:hanging="944"/>
        <w:spacing w:after="0"/>
        <w:tabs>
          <w:tab w:leader="none" w:pos="944" w:val="left"/>
        </w:tabs>
        <w:numPr>
          <w:ilvl w:val="0"/>
          <w:numId w:val="1"/>
        </w:numPr>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Filing Fee Table.</w:t>
        </w:r>
      </w:hyperlink>
    </w:p>
    <w:p>
      <w:pPr>
        <w:spacing w:after="0" w:line="374"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4"/>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79"/>
        </w:trPr>
        <w:tc>
          <w:tcPr>
            <w:tcW w:w="6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3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vMerge w:val="restart"/>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73"/>
        </w:trPr>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S-3</w:t>
            </w:r>
          </w:p>
        </w:tc>
        <w:tc>
          <w:tcPr>
            <w:tcW w:w="26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S-3</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296411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06/02/2026</w:t>
            </w:r>
          </w:p>
        </w:tc>
        <w:tc>
          <w:tcPr>
            <w:tcW w:w="0" w:type="dxa"/>
            <w:vAlign w:val="bottom"/>
          </w:tcPr>
          <w:p>
            <w:pPr>
              <w:spacing w:after="0"/>
              <w:rPr>
                <w:sz w:val="1"/>
                <w:szCs w:val="1"/>
                <w:color w:val="auto"/>
              </w:rPr>
            </w:pPr>
          </w:p>
        </w:tc>
      </w:tr>
    </w:tbl>
    <w:p>
      <w:pPr>
        <w:sectPr>
          <w:pgSz w:w="11900" w:h="16838" w:orient="portrait"/>
          <w:cols w:equalWidth="0" w:num="2">
            <w:col w:w="7544" w:space="220"/>
            <w:col w:w="3200"/>
          </w:cols>
          <w:pgMar w:left="436" w:top="25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Plus Therapeutics, Inc., certifies that it has reasonable grounds to believe that it meets all of the requirements for filing on Form S-3 and has duly caused this registration statement to be signed on its behalf by the undersigned, thereunto duly authorized, in the city of Houston, State of Texas, on June 5,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Marc H. Hedrick, M.D.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Hawkins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Marc H. Hedrick, MD</w:t>
            </w: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H. Hedrick, MD</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Sims</w:t>
            </w: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VP of Finance (Principal Financial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Sims</w:t>
            </w:r>
          </w:p>
        </w:tc>
        <w:tc>
          <w:tcPr>
            <w:tcW w:w="120" w:type="dxa"/>
            <w:vAlign w:val="bottom"/>
          </w:tcPr>
          <w:p>
            <w:pPr>
              <w:spacing w:after="0"/>
              <w:rPr>
                <w:sz w:val="19"/>
                <w:szCs w:val="19"/>
                <w:color w:val="auto"/>
              </w:rPr>
            </w:pPr>
          </w:p>
        </w:tc>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0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van Es-Johansson, MD</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Clowes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Guse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 Andrews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Andrew Sims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Andrew Sims</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6"/>
        </w:trPr>
        <w:tc>
          <w:tcPr>
            <w:tcW w:w="4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II-3</w:t>
            </w:r>
          </w:p>
        </w:tc>
        <w:tc>
          <w:tcPr>
            <w:tcW w:w="20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DATED AS OF          , 20</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PLUS THERAPEUTICS, INC.</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Providing for Issuance of</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Acts of Holders; Record Dates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to Holders; Waiver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Separability Clause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of Indenture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Holidays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Incorporators, Equityholders, Directors, Members, Managers, Officers and Employees of the Company Exempt from</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 Liability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FORM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Forms Generally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Legend for Global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 Deemed Owners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Interest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Discount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and Interest and to Convert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Hold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Held in Trust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Conflicting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HOLDERS’ LISTS AND REPORTS BY TRUSTEE AND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by Trustee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by Company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 MERGER, CONVEYANCE, TRANSFER OR LEASE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May Consolidate, Etc., Only on Certain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Substituted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5"/>
        </w:trPr>
        <w:tc>
          <w:tcPr>
            <w:tcW w:w="1480" w:type="dxa"/>
            <w:vAlign w:val="bottom"/>
          </w:tcPr>
          <w:p>
            <w:pPr>
              <w:spacing w:after="0"/>
              <w:rPr>
                <w:sz w:val="24"/>
                <w:szCs w:val="24"/>
                <w:color w:val="auto"/>
              </w:rPr>
            </w:pPr>
          </w:p>
        </w:tc>
        <w:tc>
          <w:tcPr>
            <w:tcW w:w="83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ii</w:t>
            </w: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by Officer as to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Redemption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SINKING FUNDS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DEFEASANCE AND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Option to Effect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Defeasance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Note: This table of contents shall not, for any purpose, be deemed to be a part of the Indenture.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760" w:type="dxa"/>
            <w:vAlign w:val="bottom"/>
            <w:gridSpan w:val="3"/>
          </w:tcPr>
          <w:p>
            <w:pPr>
              <w:jc w:val="center"/>
              <w:ind w:right="2172"/>
              <w:spacing w:after="0"/>
              <w:rPr>
                <w:sz w:val="20"/>
                <w:szCs w:val="20"/>
                <w:color w:val="auto"/>
              </w:rPr>
            </w:pPr>
            <w:r>
              <w:rPr>
                <w:rFonts w:ascii="Times New Roman" w:cs="Times New Roman" w:eastAsia="Times New Roman" w:hAnsi="Times New Roman"/>
                <w:sz w:val="18"/>
                <w:szCs w:val="18"/>
                <w:color w:val="auto"/>
                <w:w w:val="99"/>
              </w:rPr>
              <w:t>PLUS THERAPEUTICS, INC.</w:t>
            </w:r>
          </w:p>
        </w:tc>
      </w:tr>
      <w:tr>
        <w:trPr>
          <w:trHeight w:val="414"/>
        </w:trPr>
        <w:tc>
          <w:tcPr>
            <w:tcW w:w="2260" w:type="dxa"/>
            <w:vAlign w:val="bottom"/>
          </w:tcPr>
          <w:p>
            <w:pPr>
              <w:spacing w:after="0"/>
              <w:rPr>
                <w:sz w:val="24"/>
                <w:szCs w:val="24"/>
                <w:color w:val="auto"/>
              </w:rPr>
            </w:pPr>
          </w:p>
        </w:tc>
        <w:tc>
          <w:tcPr>
            <w:tcW w:w="8760" w:type="dxa"/>
            <w:vAlign w:val="bottom"/>
            <w:gridSpan w:val="3"/>
          </w:tcPr>
          <w:p>
            <w:pPr>
              <w:jc w:val="center"/>
              <w:ind w:right="2172"/>
              <w:spacing w:after="0"/>
              <w:rPr>
                <w:sz w:val="20"/>
                <w:szCs w:val="20"/>
                <w:color w:val="auto"/>
              </w:rPr>
            </w:pPr>
            <w:r>
              <w:rPr>
                <w:rFonts w:ascii="Times New Roman" w:cs="Times New Roman" w:eastAsia="Times New Roman" w:hAnsi="Times New Roman"/>
                <w:sz w:val="18"/>
                <w:szCs w:val="18"/>
                <w:color w:val="auto"/>
              </w:rPr>
              <w:t>Certain Sections of this Indenture relating to Sections 310 - 318, inclusive,</w:t>
            </w:r>
          </w:p>
        </w:tc>
      </w:tr>
      <w:tr>
        <w:trPr>
          <w:trHeight w:val="234"/>
        </w:trPr>
        <w:tc>
          <w:tcPr>
            <w:tcW w:w="2260" w:type="dxa"/>
            <w:vAlign w:val="bottom"/>
          </w:tcPr>
          <w:p>
            <w:pPr>
              <w:spacing w:after="0"/>
              <w:rPr>
                <w:sz w:val="20"/>
                <w:szCs w:val="20"/>
                <w:color w:val="auto"/>
              </w:rPr>
            </w:pPr>
          </w:p>
        </w:tc>
        <w:tc>
          <w:tcPr>
            <w:tcW w:w="8760" w:type="dxa"/>
            <w:vAlign w:val="bottom"/>
            <w:gridSpan w:val="3"/>
          </w:tcPr>
          <w:p>
            <w:pPr>
              <w:jc w:val="center"/>
              <w:ind w:right="2192"/>
              <w:spacing w:after="0"/>
              <w:rPr>
                <w:sz w:val="20"/>
                <w:szCs w:val="20"/>
                <w:color w:val="auto"/>
              </w:rPr>
            </w:pPr>
            <w:r>
              <w:rPr>
                <w:rFonts w:ascii="Times New Roman" w:cs="Times New Roman" w:eastAsia="Times New Roman" w:hAnsi="Times New Roman"/>
                <w:sz w:val="18"/>
                <w:szCs w:val="18"/>
                <w:color w:val="auto"/>
                <w:w w:val="99"/>
              </w:rPr>
              <w:t>of the Trust Indenture Act of 1939, as amended</w:t>
            </w:r>
          </w:p>
        </w:tc>
      </w:tr>
      <w:tr>
        <w:trPr>
          <w:trHeight w:val="40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3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310(a)(1)</w:t>
            </w: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6.09</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(a)(2)</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(a)(3)</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(a)(4)</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(a)(5)</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6.08, 6.10</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7.01, 7.02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(b)(1)</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(b)(2)</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(a)(4)</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1.04, 10.04</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(c)(1)</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(c)(2)</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(c)(3)</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316(a)(last sentence)</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(a)(1)(A)</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(a)(1)(B)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(a)(2)</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70"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187"/>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91"/>
        </w:trPr>
        <w:tc>
          <w:tcPr>
            <w:tcW w:w="556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6"/>
                <w:szCs w:val="16"/>
                <w:color w:val="auto"/>
              </w:rPr>
            </w:pPr>
          </w:p>
        </w:tc>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1.04</w:t>
            </w:r>
          </w:p>
        </w:tc>
      </w:tr>
      <w:tr>
        <w:trPr>
          <w:trHeight w:val="216"/>
        </w:trPr>
        <w:tc>
          <w:tcPr>
            <w:tcW w:w="5660" w:type="dxa"/>
            <w:vAlign w:val="bottom"/>
            <w:gridSpan w:val="2"/>
          </w:tcPr>
          <w:p>
            <w:pPr>
              <w:jc w:val="right"/>
              <w:ind w:right="4980"/>
              <w:spacing w:after="0"/>
              <w:rPr>
                <w:sz w:val="20"/>
                <w:szCs w:val="20"/>
                <w:color w:val="auto"/>
              </w:rPr>
            </w:pPr>
            <w:r>
              <w:rPr>
                <w:rFonts w:ascii="Times New Roman" w:cs="Times New Roman" w:eastAsia="Times New Roman" w:hAnsi="Times New Roman"/>
                <w:sz w:val="18"/>
                <w:szCs w:val="18"/>
                <w:color w:val="auto"/>
                <w:w w:val="97"/>
              </w:rPr>
              <w:t>317(a)(1)</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660" w:type="dxa"/>
            <w:vAlign w:val="bottom"/>
            <w:gridSpan w:val="2"/>
          </w:tcPr>
          <w:p>
            <w:pPr>
              <w:jc w:val="right"/>
              <w:ind w:right="4980"/>
              <w:spacing w:after="0"/>
              <w:rPr>
                <w:sz w:val="20"/>
                <w:szCs w:val="20"/>
                <w:color w:val="auto"/>
              </w:rPr>
            </w:pPr>
            <w:r>
              <w:rPr>
                <w:rFonts w:ascii="Times New Roman" w:cs="Times New Roman" w:eastAsia="Times New Roman" w:hAnsi="Times New Roman"/>
                <w:sz w:val="18"/>
                <w:szCs w:val="18"/>
                <w:color w:val="auto"/>
              </w:rPr>
              <w:t>(a)(2)</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5660" w:type="dxa"/>
            <w:vAlign w:val="bottom"/>
            <w:gridSpan w:val="2"/>
          </w:tcPr>
          <w:p>
            <w:pPr>
              <w:jc w:val="right"/>
              <w:ind w:right="5200"/>
              <w:spacing w:after="0"/>
              <w:rPr>
                <w:sz w:val="20"/>
                <w:szCs w:val="20"/>
                <w:color w:val="auto"/>
              </w:rPr>
            </w:pPr>
            <w:r>
              <w:rPr>
                <w:rFonts w:ascii="Times New Roman" w:cs="Times New Roman" w:eastAsia="Times New Roman" w:hAnsi="Times New Roman"/>
                <w:sz w:val="18"/>
                <w:szCs w:val="18"/>
                <w:color w:val="auto"/>
                <w:w w:val="93"/>
              </w:rPr>
              <w:t>318(a)</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 means inapplicable.</w:t>
      </w:r>
    </w:p>
    <w:p>
      <w:pPr>
        <w:spacing w:after="0" w:line="27" w:lineRule="exact"/>
        <w:rPr>
          <w:sz w:val="20"/>
          <w:szCs w:val="20"/>
          <w:color w:val="auto"/>
        </w:rPr>
      </w:pPr>
    </w:p>
    <w:p>
      <w:pPr>
        <w:ind w:left="5464" w:right="3420" w:hanging="5464"/>
        <w:spacing w:after="0" w:line="433" w:lineRule="auto"/>
        <w:tabs>
          <w:tab w:leader="none" w:pos="4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This reconciliation and tie shall not, for any purpose, be deemed to be part of the Indenture. v</w:t>
      </w:r>
    </w:p>
    <w:p>
      <w:pPr>
        <w:sectPr>
          <w:pgSz w:w="11900" w:h="16838" w:orient="portrait"/>
          <w:cols w:equalWidth="0" w:num="1">
            <w:col w:w="11024"/>
          </w:cols>
          <w:pgMar w:left="436" w:top="263" w:right="439" w:bottom="1440" w:gutter="0" w:footer="0" w:header="0"/>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INDENTURE, dated as of       , 20   , between </w:t>
      </w:r>
      <w:r>
        <w:rPr>
          <w:rFonts w:ascii="Times New Roman" w:cs="Times New Roman" w:eastAsia="Times New Roman" w:hAnsi="Times New Roman"/>
          <w:sz w:val="18"/>
          <w:szCs w:val="18"/>
          <w:b w:val="1"/>
          <w:bCs w:val="1"/>
          <w:color w:val="auto"/>
        </w:rPr>
        <w:t>PLUS THERAPEUTICS, INC.</w:t>
      </w:r>
      <w:r>
        <w:rPr>
          <w:rFonts w:ascii="Times New Roman" w:cs="Times New Roman" w:eastAsia="Times New Roman" w:hAnsi="Times New Roman"/>
          <w:sz w:val="18"/>
          <w:szCs w:val="18"/>
          <w:color w:val="auto"/>
        </w:rPr>
        <w:t xml:space="preserve">, a corporation duly organized and existing under the laws of the State of Delaware (herein called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 as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Company has duly authorized the execution and delivery of this Indenture to provide for the issuance from time to time of the Company’s debentures, notes or other evidences of indebtedness (herein called the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to be issued in one or more series as provided in this Indenture.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3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ARTICLE I. DEFINITIONS AND OTHER PROVISIONS OF GENERAL APPLICATION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right="420" w:firstLine="436"/>
        <w:spacing w:after="0" w:line="282"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 and the masculine gender shall include the feminine and neuter, and vice versa, unless the context otherwise requires;</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that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right="360" w:firstLine="436"/>
        <w:spacing w:after="0" w:line="312" w:lineRule="auto"/>
        <w:tabs>
          <w:tab w:leader="none" w:pos="6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accounting terms not otherwise defined herein have the meanings assigned to them in accordance with generally accepted accounting principles in the United States of America (including, if applicable, International Financial Reporting Standards) as in effect from time to time;</w:t>
      </w:r>
    </w:p>
    <w:p>
      <w:pPr>
        <w:spacing w:after="0" w:line="139" w:lineRule="exact"/>
        <w:rPr>
          <w:rFonts w:ascii="Times New Roman" w:cs="Times New Roman" w:eastAsia="Times New Roman" w:hAnsi="Times New Roman"/>
          <w:sz w:val="17"/>
          <w:szCs w:val="17"/>
          <w:color w:val="auto"/>
        </w:rPr>
      </w:pPr>
    </w:p>
    <w:p>
      <w:pPr>
        <w:ind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a Section, as the case may be, of this Indenture;</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 “including” means “including without limitation”, “including but not limited to” or words of similar import;</w:t>
      </w:r>
    </w:p>
    <w:p>
      <w:pPr>
        <w:spacing w:after="0" w:line="225"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these words are not intended to refer to any right of the Holder or the Company to exchange such Security for other Securities of the same series and like tenor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or another similar provisions of this Indenture, unless the context otherwise requires; and references herein to the terms of any Security that may be converted mean such terms as may be specified for such Security as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440" w:top="266" w:right="599" w:bottom="1440" w:gutter="0" w:footer="0" w:header="0"/>
        </w:sectPr>
      </w:pPr>
    </w:p>
    <w:bookmarkStart w:id="12" w:name="page13"/>
    <w:bookmarkEnd w:id="12"/>
    <w:p>
      <w:pPr>
        <w:ind w:firstLine="436"/>
        <w:spacing w:after="0" w:line="312" w:lineRule="auto"/>
        <w:tabs>
          <w:tab w:leader="none" w:pos="6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when used with respect to any Holder, has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of a Depositary means, with respect to any matter at any time, the policies and procedures of such Depositary, if any, that are applicable to such matter at such time.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any Person authorized by the Trustee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to act on behalf of the Trustee to authenticate Securities of one or more series.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either the board of directors of the Company or any duly authorized committee of that board of directors.</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when used with respect to any Place of Payment, means, except as otherwise provided or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each Monday, Tuesday, Wednesday, Thursday and Friday which is not a day on which banking institutions in that Place of Payment are authorized or obligated by law or executive order or regulation to close.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its Chief Executive Officer, Chief Financial Officer or Corporate Secretary of the Company, or any other officer or officers of the Company designated in writing by or pursuant to authority of the Board of Directors, and delivered to the Trustee.</w:t>
      </w:r>
    </w:p>
    <w:p>
      <w:pPr>
        <w:spacing w:after="0" w:line="171"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particular time its corporate trust business shall be administered, or at any other time at such other address as the Trustee may designate from time to time by notice to the Holders.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means a corporation, association, limited liability company, company, joint-stock company or business trust.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any statute successor thereto, in each case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xml:space="preserve">” means a Security that evidences all or part of the Securities of any series and bears the legend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such legend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an Original Issue Discount Security that by its terms bears interest only after Maturity, means interest payable after Maturity.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xml:space="preserve">” means a written notice of the kind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Chairman of the Board, the Chief Executive Officer, the Chief Financial Officer or the Corporate Secretary or any other officer or officers of the Company designated in writing by or pursuant to authority of the Board of Directors and delivered to the Trustee.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who may be an employee of, or outside counsel to, but does not have to be counsel for, the Company, and who shall be acceptable to the Trustee, which acceptance shall not be unreasonably withheld. Opinions of Counsel required to be delivered under this Indenture may have qualifications customary for opinions of the type required.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 w:name="page15"/>
    <w:bookmarkEnd w:id="14"/>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xml:space="preserve">” means any Security that provides for an amount less than the principal amount thereof to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51" w:lineRule="exact"/>
        <w:rPr>
          <w:sz w:val="20"/>
          <w:szCs w:val="20"/>
          <w:color w:val="auto"/>
        </w:rPr>
      </w:pPr>
    </w:p>
    <w:p>
      <w:pPr>
        <w:ind w:left="704" w:hanging="264"/>
        <w:spacing w:after="0"/>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and delivered to the Trustee or delivered to the Trustee for cancellation;</w:t>
      </w:r>
    </w:p>
    <w:p>
      <w:pPr>
        <w:spacing w:after="0" w:line="225"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has been made;</w:t>
      </w:r>
    </w:p>
    <w:p>
      <w:pPr>
        <w:spacing w:after="0" w:line="179"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except to the extent provided in </w:t>
      </w:r>
      <w:r>
        <w:rPr>
          <w:rFonts w:ascii="Times New Roman" w:cs="Times New Roman" w:eastAsia="Times New Roman" w:hAnsi="Times New Roman"/>
          <w:sz w:val="18"/>
          <w:szCs w:val="18"/>
          <w:u w:val="single" w:color="auto"/>
          <w:color w:val="auto"/>
        </w:rPr>
        <w:t>Sections 13.02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respectively, as to which the Company has effected Defeasance pursuant to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Covenant Defeasance pursuant to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have been paid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as to which any property deliverable upon conversion thereof has been delivered (or such delivery has been made available), or as to which any other particular conditions have been satisfied, in each case as may be provided for such Securities as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of the principal amount of such Security (or, in the case of a Security described in Clause (A) or</w:t>
      </w:r>
    </w:p>
    <w:p>
      <w:pPr>
        <w:spacing w:after="0" w:line="1" w:lineRule="exact"/>
        <w:rPr>
          <w:sz w:val="20"/>
          <w:szCs w:val="20"/>
          <w:color w:val="auto"/>
        </w:rPr>
      </w:pPr>
    </w:p>
    <w:p>
      <w:pPr>
        <w:ind w:left="4" w:right="60" w:hanging="4"/>
        <w:spacing w:after="0" w:line="252"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The Trustee shall be protected in relying on an Officer’s Certificate or other evidence satisfactory to it in determining ownership.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4"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any Person authorized by the Company to pay the principal of or any premium or interest on any Securities on behalf of the Company.</w:t>
      </w:r>
    </w:p>
    <w:p>
      <w:pPr>
        <w:spacing w:after="0" w:line="15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company (including a limited liability company), partnership, joint venture, association, joint stock company, trust, unincorporated organization or government or any agency or political subdivision thereof or any other entity.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5" w:name="page16"/>
    <w:bookmarkEnd w:id="15"/>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Place of Payment</w:t>
      </w:r>
      <w:r>
        <w:rPr>
          <w:rFonts w:ascii="Times New Roman" w:cs="Times New Roman" w:eastAsia="Times New Roman" w:hAnsi="Times New Roman"/>
          <w:sz w:val="18"/>
          <w:szCs w:val="18"/>
          <w:color w:val="auto"/>
        </w:rPr>
        <w:t xml:space="preserve">”, when used with respect to the Securities of any series, means the place or places where the principal of and any premium and interest on the Securities of that series are payable as specified or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Security</w:t>
      </w:r>
      <w:r>
        <w:rPr>
          <w:rFonts w:ascii="Times New Roman" w:cs="Times New Roman" w:eastAsia="Times New Roman" w:hAnsi="Times New Roman"/>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xml:space="preserve"> in exchange for or in lieu of a mutilated, destroyed, lost or stolen Security shall be deemed to evidence the same debt as the mutilated, destroyed, lost or stolen Security.</w:t>
      </w:r>
    </w:p>
    <w:p>
      <w:pPr>
        <w:spacing w:after="0" w:line="153"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xml:space="preserve">” for the interest payable on any Interest Payment Date on the Securities of any series means the date specified for that purpose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when used with respect to the Trustee, means the 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in each case, shall have direct responsibility for the administration of this Indenture.</w:t>
      </w:r>
    </w:p>
    <w:p>
      <w:pPr>
        <w:spacing w:after="0" w:line="16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have the respective meanings specified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Record Date</w:t>
      </w:r>
      <w:r>
        <w:rPr>
          <w:rFonts w:ascii="Times New Roman" w:cs="Times New Roman" w:eastAsia="Times New Roman" w:hAnsi="Times New Roman"/>
          <w:sz w:val="18"/>
          <w:szCs w:val="18"/>
          <w:color w:val="auto"/>
        </w:rPr>
        <w:t xml:space="preserve">” for the payment of any Defaulted Interest means a date fixed by the Trustee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spacing w:after="0" w:line="179"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and in force at the date as of which this Indenture was executed, except as otherwise provided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provided, however, that in the event the Trust Indenture Act of 1939 is amended after such date, “Trust Indenture Act” means, to the extent required by any such amendment, the Trust Indenture Act of 1939 as so amended.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16" w:name="page17"/>
    <w:bookmarkEnd w:id="16"/>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Vice President</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 to take or refrain from taking any action under any provision of this Indenture, the Company shall furnish to the Trustee such certificates and opinions as may be required under the Trust Indenture Act; provided, however, that (i) in the case of any such application or request as to which the furnishing of such documents is specifically required by any provision of this Indenture relating to such particular application or request, no additional certificate or opinion need be furnished by the Company and (ii) no opinion of Counsel shall be required in connection with a request by the Company that the Trustee deliver a notice to Holders under this Indenture where the Trustee receives an Officer’s Certificate with respect to such notice. Each such certificate and opinion shall be given in the form of an Officer’s Certificate, if to be given by an officer of the Company and an Opinion of Counsel, if to be given by counsel, and shall comply with the requirements of the Trust Indenture Act and any other requirements set forth in this Indenture.</w:t>
      </w:r>
    </w:p>
    <w:p>
      <w:pPr>
        <w:spacing w:after="0" w:line="19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Every certificate or opinion with respect to compliance with a condition or covenant provided for in this Indenture (except for certificates provided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shall include:</w:t>
      </w:r>
    </w:p>
    <w:p>
      <w:pPr>
        <w:spacing w:after="0" w:line="54" w:lineRule="exact"/>
        <w:rPr>
          <w:sz w:val="20"/>
          <w:szCs w:val="20"/>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Officer’s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Counsel delivering an Opinion of Counsel may also rely as to factual matters on certificates of governmental or other officials customary for opinions of the type required.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7" w:name="page18"/>
    <w:bookmarkEnd w:id="17"/>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 Record Dates.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of the Holders signing such instrument or instruments. Proof of execution of any such instrument or of a writing appointing any such agent shall be sufficient for any purpose of this Indenture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conclusive in favor of the Trustee and the Company, if made in the manner provided in this Section.</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a Holder, including a Depositary that is a Holder of a Global Security, may make, give or take, by a proxy or proxies, duly appointed in writing, any request, demand, authorization, direction, notice, consent, waiver or other action provided in this Indenture to be made, given or taken by Holders, and a Depositary that is a Holder of a Global Security may provide its proxy or proxies to the beneficial owners of interests in any such Global Security.</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ownership, principal amount and serial numbers of Securities held by any Person, and the date of commencement of such Person’s holding the same, shall be proved by the Security Register.</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(iii) any request to institute proceedings referred to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xml:space="preserve"> or (iv) any direction referred to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 respect to any record date set pursuant to this Section, the party hereto which sets such record date may designate any day as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from time to time may change the Expiration Date to any earlier or later day; provided that no such change shall be effective unless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proposed new Expiration Date is given to the other party hereto in writing, and to each Holder of Securities of the relevant series in the manner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on or prior to the then existing Expiration Date. If an Expiration Date is not designated with respect to any record date set pursuant to this Section, the party hereto which set such record date shall be deemed to have initially designated the 180th day following such record date as the Expiration Date with respect thereto, subject to its right to change the Expiration Date as provided in this paragraph. Notwithstanding the foregoing, no Expiration Date shall be later than the 180th day following the applicable record date.</w:t>
      </w:r>
    </w:p>
    <w:p>
      <w:pPr>
        <w:spacing w:after="0" w:line="187"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 provided or permitted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be made upon, given or furnished to, or filed with:</w:t>
      </w:r>
    </w:p>
    <w:p>
      <w:pPr>
        <w:spacing w:after="0" w:line="99" w:lineRule="exact"/>
        <w:rPr>
          <w:sz w:val="20"/>
          <w:szCs w:val="20"/>
          <w:color w:val="auto"/>
        </w:rPr>
      </w:pPr>
    </w:p>
    <w:p>
      <w:pPr>
        <w:ind w:right="260" w:firstLine="436"/>
        <w:spacing w:after="0" w:line="312" w:lineRule="auto"/>
        <w:tabs>
          <w:tab w:leader="none" w:pos="6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Trustee by any Holder or by the Company shall be sufficient for every purpose hereunder if made, given, furnished or filed in writing (which may be by facsimile or electronic transmission) to or with the Trustee at its Corporate Trust Office at the location specified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or</w:t>
      </w:r>
    </w:p>
    <w:p>
      <w:pPr>
        <w:spacing w:after="0" w:line="139" w:lineRule="exact"/>
        <w:rPr>
          <w:rFonts w:ascii="Times New Roman" w:cs="Times New Roman" w:eastAsia="Times New Roman" w:hAnsi="Times New Roman"/>
          <w:sz w:val="17"/>
          <w:szCs w:val="17"/>
          <w:color w:val="auto"/>
        </w:rPr>
      </w:pPr>
    </w:p>
    <w:p>
      <w:pPr>
        <w:ind w:right="2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at the address of the Company’s principal office specified in writing to the Trustee, which shall be, until further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6420 Levit Green Boulevard, Suite 310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Houston, Texas 77021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foregoing, the Trustee agrees to accept and act upon notices, instructions or directions pursuant to this Indenture sent by unsecured e-mail, facsimile transmission or other similar unsecured electronic methods. If the party elects to give the Trustee e-mail or facsimile notices, instructions or directions (or notices, instructions or directions by a similar electronic method) and the Trustee acts upon such notices, instructions or directions, the Trustee’s understanding of such notices, instructions or directions shall be deemed controlling. The Trustee shall not be liable for any losses, costs or expenses arising directly or indirectly from the Trustee’s reliance upon and compliance with such notices, instructions or directions notwithstanding such notices, instructions or directions conflict or are inconsistent with a subsequent written notice, instruction or direction. The Company agrees to assume all risks arising out of the use of such electronic methods to submit notices, instructions and directions to the Trustee, including without limitation the risk of the Trustee acting on unauthorized notices, instructions or directions, and the risk or interception and misuse by third parties.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Conflict with Trust Indenture Act.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that are required to be a part of this Indenture and, to the extent applicable, shall be governed by such provisions. If any provision hereof limits, qualifies or conflicts with a provision of the Trust Indenture Act or with another provision hereof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excluded, as the case may be.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Effect of Headings and Table of Contents.</w:t>
      </w:r>
    </w:p>
    <w:p>
      <w:pPr>
        <w:spacing w:after="0" w:line="225"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 9</w:t>
      </w:r>
    </w:p>
    <w:p>
      <w:pPr>
        <w:sectPr>
          <w:pgSz w:w="11900" w:h="16838" w:orient="portrait"/>
          <w:cols w:equalWidth="0" w:num="1">
            <w:col w:w="11000"/>
          </w:cols>
          <w:pgMar w:left="440" w:top="270" w:right="4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Successors and Assigns.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covenants and agreements in this Indenture by the Company shall bind its successors and assigns, whether so expressed or not. All agreements of the Trustee in this Indenture shall bind its successors and assigns, whether so expressed or not.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Separability Clause.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Benefits of Indenture.</w:t>
      </w:r>
    </w:p>
    <w:p>
      <w:pPr>
        <w:spacing w:after="0" w:line="225"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Nothing in this Indenture or in the Securities, express or implied, shall give to any Person, other than the parties hereto and their successors hereunder and the Holders, any benefit or any legal or equitable right, remedy or claim under this Indenture, except as may otherwise be expressly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specific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laws of the State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Legal Holidays.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the Redemption Price or conversion of such Security, need not be made at such Place of Payment on such date, but may be made on the next succeeding Business Day at such Place of Payment with the same force and effect as if made on the Interest Payment Date or Redemption Date, or at the Stated Maturity, or on such conversion date. No interest shall accrue for the period from and after any such Interest Payment Date, Redemption Date, Stated Maturity or conversion date, as the case may be, to the date of such payment.</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Incorporators, Equityholders, Directors, Members, Managers, Officers and Employees of the Company Exempt from 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Liability.</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this Indenture, or in any Security, or because of any indebtedness evidenced thereby, shall be had against any incorporator, as such, or against any past, present or future equityholder, director, member, manager, officer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several counterparts, each of which shall be an original and all of which shall constitute but one and the same instrument. Delivery of an executed signature page of this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Indenture or in any other certificate, agreement or document related to this Indenture shall include images of manually executed signatures transmitted by facsimile,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and any other applicable law, including, without limitation, any state law based on the Uniform Electronic Transactions Act or the Uniform Commercial Code.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WAIVER OF JURY TRIAL.</w:t>
      </w:r>
    </w:p>
    <w:p>
      <w:pPr>
        <w:spacing w:after="0" w:line="225" w:lineRule="exact"/>
        <w:rPr>
          <w:sz w:val="20"/>
          <w:szCs w:val="20"/>
          <w:color w:val="auto"/>
        </w:rPr>
      </w:pPr>
    </w:p>
    <w:p>
      <w:pPr>
        <w:ind w:right="460" w:firstLine="440"/>
        <w:spacing w:after="0" w:line="289" w:lineRule="auto"/>
        <w:rPr>
          <w:sz w:val="20"/>
          <w:szCs w:val="20"/>
          <w:color w:val="auto"/>
        </w:rPr>
      </w:pPr>
      <w:r>
        <w:rPr>
          <w:rFonts w:ascii="Times New Roman" w:cs="Times New Roman" w:eastAsia="Times New Roman" w:hAnsi="Times New Roman"/>
          <w:sz w:val="17"/>
          <w:szCs w:val="17"/>
          <w:color w:val="auto"/>
        </w:rPr>
        <w:t>EACH OF THE COMPANY, THE HOLDERS AND THE TRUSTEE HEREBY IRREVOCABLY WAIVES, TO THE FULLEST EXTENT PERMITTED BY APPLICABLE LAW, ANY AND ALL RIGHT TO TRIAL BY JURY IN ANY LEGAL PROCEEDING AS BETWEEN THE COMPANY AND THE TRUSTEE ONLY ARISING OUT OF OR RELATING TO THIS INDENTURE OR THE SECURITIES.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SECURITY FORM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Securities of each series and the Trustee’s certificate of authentication shall be in substantially the forms set forth in this Article, or in such other form as shall be established by or pursuant to a Board Resolution and,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to the extent established in an Officer’s Certificate or Company Order setting forth, or determining the manner of,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laws or the rules of any securities exchange or automated quotation system on which the Securities of such series may be listed or traded or of any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for the authentication and delivery of such Securities. If all of the Securities of any series established by action taken pursuant to a Board Resolution are not to be issued at one time, it shall not be necessary to deliver a record of such action at the time of issuance of each Security of such series, but an appropriate record of such action shall be delivered at or before the time of issuance of the first Security of such series.</w:t>
      </w:r>
    </w:p>
    <w:p>
      <w:pPr>
        <w:spacing w:after="0" w:line="19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Legend for Global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the Securities evidenced thereby or as required by Applicable Procedures, every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Security authenticated and delivered hereunder shall bear a legend in substantially the following form:</w:t>
      </w:r>
    </w:p>
    <w:p>
      <w:pPr>
        <w:spacing w:after="0" w:line="9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[Insert, if applicable — 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2" w:name="page23"/>
    <w:bookmarkEnd w:id="2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[Insert, if applicable — 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Securities of a series are issuable in whole or in part in the form of one or more Global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then, notwithstanding Clause (i)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w:t>
      </w:r>
      <w:r>
        <w:rPr>
          <w:rFonts w:ascii="Times New Roman" w:cs="Times New Roman" w:eastAsia="Times New Roman" w:hAnsi="Times New Roman"/>
          <w:sz w:val="18"/>
          <w:szCs w:val="18"/>
          <w:u w:val="single" w:color="auto"/>
          <w:color w:val="auto"/>
        </w:rPr>
        <w:t>Sections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 (which need not comply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need not be accompanied by an Opinion of Counsel).</w:t>
      </w:r>
    </w:p>
    <w:p>
      <w:pPr>
        <w:spacing w:after="0" w:line="19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the last sentence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shall apply to any Security represented by a Global Security if such Security was never issued and sold by the Company and the Company delivers to the Trustee the Global Security together with a Company Order (which need not comply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need not be accompanied by an Opinion of Counsel) with regard to the reduction in the principal amount of Securities represented thereby, together with the written statement contemplated by the last sentence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Trustee’s certificates of authentication shall be in substantially the following form: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herein and referred to in the within-mentioned Indenture.</w:t>
      </w:r>
    </w:p>
    <w:p>
      <w:pPr>
        <w:spacing w:after="0" w:line="252" w:lineRule="exact"/>
        <w:rPr>
          <w:sz w:val="20"/>
          <w:szCs w:val="20"/>
          <w:color w:val="auto"/>
        </w:rPr>
      </w:pPr>
    </w:p>
    <w:p>
      <w:pPr>
        <w:ind w:left="6620"/>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-126365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 THE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jc w:val="both"/>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Securities may be issued in one or more series. There shall be established in or pursuant to a Board Resolution and, subject to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to the extent established pursuant to, rather than set forth in, a Board Resolution, in an Officer’s Certificate or Company Order setting forth, or determining the manner of, such establishment, or established in one or more indentures supplemental hereto, prior to the issuance of Securities of any series:</w:t>
      </w:r>
    </w:p>
    <w:p>
      <w:pPr>
        <w:spacing w:after="0" w:line="50" w:lineRule="exact"/>
        <w:rPr>
          <w:sz w:val="20"/>
          <w:szCs w:val="20"/>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Securities of the series (which shall distinguish the Securities of the series from Securities of any other series);</w:t>
      </w:r>
    </w:p>
    <w:p>
      <w:pPr>
        <w:spacing w:after="0" w:line="22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and except for any Securities which,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are deemed never to have been authenticated and delivered hereunder); provided, however, that the authorized aggregate principal amount of such series may from time to time be increased above such amount by a Board Resolution to such effect;</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of originally issued Securities, expressed as a percentage of the principal amount, and the original issue date;</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Securities will be issued and on which principal of, and premium, if any, on, any Securities of the series is payable or the method of determination thereof;</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a combination thereof) at which any Securities of the series shall bear interest, if any, or the method of determination thereof, the date or dates from which any such interest shall accrue, or the method of determination thereof, the Interest Payment Dates on which any such interest shall be payable and the Regular Record Date for any such interest payable on any Interest Payment Date, or the method by which such date or dates shall be determined, and the basis upon which interest shall be calculated if other than that of a 360-day year of twelve 30-day months, the right, if any, to extend or defer interest payments and the duration of such extension or deferral;</w:t>
      </w:r>
    </w:p>
    <w:p>
      <w:pPr>
        <w:spacing w:after="0" w:line="183"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or places where, subject to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the principal of and any premium and interest on any Securities of the series shall be payable, Securities of the series may be surrendered for registration or transfer, Securities of the series may be surrendered for exchange, and notices and demands to or upon the Company in respect of the Securities of the series and this Indenture may be served;</w:t>
      </w:r>
    </w:p>
    <w:p>
      <w:pPr>
        <w:spacing w:after="0" w:line="175"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75"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and the option, if any, of the Company to redeem, purchase or repay any Securities of the series pursuant to any sinking fund, amortization or analogous provisions or upon the happening of a specified event or at the option of the Holder thereof and the period or periods within which, the price or prices at which and the terms and conditions upon which any Securities of the series shall be redeemed, purchased or repaid, in whole or in part, pursuant to such obligation or option;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4" w:name="page25"/>
    <w:bookmarkEnd w:id="24"/>
    <w:p>
      <w:pPr>
        <w:ind w:left="-20" w:right="380" w:firstLine="436"/>
        <w:spacing w:after="0" w:line="28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other than a minimum denomination equal to $2,000 or an integral multiple of $1,000 in excess thereof, the denominations in which any Securities of the series shall be issuable;</w:t>
      </w:r>
    </w:p>
    <w:p>
      <w:pPr>
        <w:spacing w:after="0" w:line="161" w:lineRule="exact"/>
        <w:rPr>
          <w:rFonts w:ascii="Times New Roman" w:cs="Times New Roman" w:eastAsia="Times New Roman" w:hAnsi="Times New Roman"/>
          <w:sz w:val="18"/>
          <w:szCs w:val="18"/>
          <w:color w:val="auto"/>
        </w:rPr>
      </w:pPr>
    </w:p>
    <w:p>
      <w:pPr>
        <w:ind w:left="-20" w:right="640" w:firstLine="436"/>
        <w:spacing w:after="0" w:line="282"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issued in registered or bearer form or both and, if in bearer form, the related terms and conditions and any limitations on issuance of such bearer debt Securities (including exchange for registered debt Securities of the same series);</w:t>
      </w:r>
    </w:p>
    <w:p>
      <w:pPr>
        <w:spacing w:after="0" w:line="161"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Securities of the series may be determined with reference to an index including an index based on a currency or currencies other than in which the Securities of that series are payable or pursuant to a formula, the manner in which such amounts shall be determined;</w:t>
      </w:r>
    </w:p>
    <w:p>
      <w:pPr>
        <w:spacing w:after="0" w:line="175" w:lineRule="exact"/>
        <w:rPr>
          <w:rFonts w:ascii="Times New Roman" w:cs="Times New Roman" w:eastAsia="Times New Roman" w:hAnsi="Times New Roman"/>
          <w:sz w:val="18"/>
          <w:szCs w:val="18"/>
          <w:color w:val="auto"/>
        </w:rPr>
      </w:pPr>
    </w:p>
    <w:p>
      <w:pPr>
        <w:ind w:left="-20" w:right="40" w:firstLine="436"/>
        <w:spacing w:after="0" w:line="289" w:lineRule="auto"/>
        <w:tabs>
          <w:tab w:leader="none" w:pos="72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other than the currency of the United States of America, the currency, currencies or currency units in which the principal of or any premium or interest on any Securities of the series shall be denominated, payable, redeemable or purchasable and the manner of determining the equivalent thereof in the currency of the United States of America for any purpose, including for purposes of the definition of “Outstanding”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20" w:right="140" w:firstLine="436"/>
        <w:spacing w:after="0" w:line="258"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Securities of the series is to be payable, redeemable or purchasable, at the election of the Company or the Holder thereof, in one or more currencies or currency units other than that or those in which such Securities are stated to be payable, redeemable, or purchasable, the currency, currencies or currency units in which the principal of or any premium or interest on such Securities as to which such election is made shall be payable, redeemable or purchasable, the periods within which and the terms and conditions upon which such election is to be made and the amount so payable, redeemable or purchasable (or the manner in which such amount shall be determined);</w:t>
      </w:r>
    </w:p>
    <w:p>
      <w:pPr>
        <w:spacing w:after="0" w:line="183"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entire principal amount thereof, the portion of the principal amount of any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provable in bankruptcy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or the method of determination thereof;</w:t>
      </w:r>
    </w:p>
    <w:p>
      <w:pPr>
        <w:spacing w:after="0" w:line="175"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3" w:lineRule="exact"/>
        <w:rPr>
          <w:rFonts w:ascii="Times New Roman" w:cs="Times New Roman" w:eastAsia="Times New Roman" w:hAnsi="Times New Roman"/>
          <w:sz w:val="18"/>
          <w:szCs w:val="18"/>
          <w:color w:val="auto"/>
        </w:rPr>
      </w:pPr>
    </w:p>
    <w:p>
      <w:pPr>
        <w:jc w:val="both"/>
        <w:ind w:left="-20" w:right="140" w:firstLine="436"/>
        <w:spacing w:after="0" w:line="261"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that the Securities of the series, in whole or any specified part, shall be defeasible pursuant to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or both such Sections or if other than as provided in </w:t>
      </w:r>
      <w:r>
        <w:rPr>
          <w:rFonts w:ascii="Times New Roman" w:cs="Times New Roman" w:eastAsia="Times New Roman" w:hAnsi="Times New Roman"/>
          <w:sz w:val="18"/>
          <w:szCs w:val="18"/>
          <w:u w:val="single" w:color="auto"/>
          <w:color w:val="auto"/>
        </w:rPr>
        <w:t>Sections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the terms and conditions upon which and the manner in which such series of Securities may be defeased or discharged, and, if other than by a Board Resolution, the manner in which any election by the Company to defease or discharge such Securities shall be evidenced;</w:t>
      </w:r>
    </w:p>
    <w:p>
      <w:pPr>
        <w:spacing w:after="0" w:line="179" w:lineRule="exact"/>
        <w:rPr>
          <w:rFonts w:ascii="Times New Roman" w:cs="Times New Roman" w:eastAsia="Times New Roman" w:hAnsi="Times New Roman"/>
          <w:sz w:val="18"/>
          <w:szCs w:val="18"/>
          <w:color w:val="auto"/>
        </w:rPr>
      </w:pPr>
    </w:p>
    <w:p>
      <w:pPr>
        <w:ind w:left="-20" w:right="120" w:firstLine="436"/>
        <w:spacing w:after="0" w:line="256"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information with respect to book-entry procedures, and any circumstances in addition to or in lieu of those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Security is issued as an original issue discount debt Security, and if so, the yield to maturity;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25" w:name="page26"/>
    <w:bookmarkEnd w:id="25"/>
    <w:p>
      <w:pPr>
        <w:ind w:right="20" w:firstLine="43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deletion from, addition to or change in the Events of Default that apply to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 to or change in the covenants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that apply to Securities of the series or in any defined term used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Company to defer payments of interest by extending the interest payment periods and specify the duration of such extension, the Interest Payment Dates on which such interest shall be payable and whether and under what circumstances additional interest on amounts deferred shall be payable;</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any other trustee, the Security Registrar and any Paying Agent;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as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provisions relating to the satisfaction and discharge of this Indenture;</w:t>
      </w:r>
    </w:p>
    <w:p>
      <w:pPr>
        <w:spacing w:after="0" w:line="22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w:t>
      </w:r>
    </w:p>
    <w:p>
      <w:pPr>
        <w:spacing w:after="0" w:line="175" w:lineRule="exact"/>
        <w:rPr>
          <w:rFonts w:ascii="Times New Roman" w:cs="Times New Roman" w:eastAsia="Times New Roman" w:hAnsi="Times New Roman"/>
          <w:sz w:val="18"/>
          <w:szCs w:val="18"/>
          <w:color w:val="auto"/>
        </w:rPr>
      </w:pPr>
    </w:p>
    <w:p>
      <w:pPr>
        <w:ind w:right="220" w:firstLine="436"/>
        <w:spacing w:after="0" w:line="312"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w:t>
      </w:r>
    </w:p>
    <w:p>
      <w:pPr>
        <w:spacing w:after="0" w:line="140" w:lineRule="exact"/>
        <w:rPr>
          <w:sz w:val="20"/>
          <w:szCs w:val="20"/>
          <w:color w:val="auto"/>
        </w:rPr>
      </w:pPr>
    </w:p>
    <w:p>
      <w:pPr>
        <w:ind w:right="40" w:firstLine="436"/>
        <w:spacing w:after="0" w:line="28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issued in a transaction exempt from registration under the Securities Act and any restriction or condition on the transferability of the Securities of such series;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if any, on which the Securities may be listed;</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7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such series, including, but not limited to, any terms that may be required by or advisable under U.S. laws or regulations or otherwise included in connection with the marketing of Securities of that series.</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Securities of any one series shall be substantially identical except as to denomination and except as may otherwise be provided in or pursuant to the Board Resolution referred to above and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set forth, or determined in the manner provided, in the Officer’s Certificate referred to above or in any such indenture supplemental hereto. Accordingly, the terms of any Security of a series may differ from the terms of other Securities of the same series, if and to the extent provided pursuant to this Section. The matters referenced in any or all of Clauses (a) through (dd) above may be established and set forth or determined as aforesaid with respect to all or any specific Securities of a series (in each case to the extent permitted by the Trust Indenture Act).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such Board Resolution or Officer’s Certificate referred to above with respect to Securities of any series filed with the Trustee on or before the initial issuance of the Securities of such series shall be incorporated herein by reference with respect to Securities of such series and shall thereafter be deemed to be a part of this Indenture for all purposes relating to Securities of such series as fully as if such Board Resolution or Officer’s Certificate were set forth herein in full.</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6" w:name="page27"/>
    <w:bookmarkEnd w:id="26"/>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Securities of each series shall be issuable only in registered form without coupons and only in such denominations as shall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the absence of any such specified denomination with respect to the Securities of any series, the Securities of such series shall be issuable in a denomination equal to $2,000 or an integral multiple of $1,000 in excess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its Chairman of the Board, Chief Executive Officer, Chief Financial Officer, or Corporate Secretary (or any other officer of the Company designated in writing by or pursuant to authority of the Board of Directors and delivered to the Trustee from time to time). The signature of any of these officers on the Securities may be manual, electronic or facsimile.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in authenticating such Securities, and accepting the additional responsibilities under this Indenture in relation to such Securities, the Trustee shall be entitled to receive,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shall be fully protected in relying upon, an Opinion of Counsel stating:</w:t>
      </w:r>
    </w:p>
    <w:p>
      <w:pPr>
        <w:spacing w:after="0" w:line="79" w:lineRule="exact"/>
        <w:rPr>
          <w:sz w:val="20"/>
          <w:szCs w:val="20"/>
          <w:color w:val="auto"/>
        </w:rPr>
      </w:pPr>
    </w:p>
    <w:p>
      <w:pPr>
        <w:ind w:right="120" w:firstLine="436"/>
        <w:spacing w:after="0" w:line="282"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form of such Securities has been established by or pursuant to a Board Resolution as permitted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that such form has been established in conformity with the provisions of this Indenture;</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such Securities have been established by or pursuant to a Board Resolution as permitted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that such terms have been established in conformity with the provisions of this Indenture; and</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by the Trustee and issued and delivered by the Company in the manner and subject to any conditions specified in such Opinion of Counsel, will constitute valid and legally binding obligations of the Company, enforceable against the Company in accordance with their terms, subject to bankruptcy, insolvency, fraudulent transfer, reorganization, moratorium and similar laws of general applicability relating to or affecting creditors’ rights and to general equity principles or other customary exceptions.</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if the issue of such Securities pursuant to this Indenture in accordance with a Board Resolution will materially adversely affect the Trustee’s own rights, duties or immunities under the Securities and this Indenture or otherwise in a manner which is not reasonably acceptable to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7" w:name="page28"/>
    <w:bookmarkEnd w:id="2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provisions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of the preceding paragraph, if all Securities of a series are not to be originally issued at one time, it shall not be necessary, unless the Trustee reasonably determines otherwise, for the Company to deliver a Board Resolution, Officer’s Certificate or supplemental indenture otherwise required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the Company Order and Opinion of Counsel otherwise required pursuant to the third paragraph of this Section at or prior to the authentication of each Security of such series if such documents are delivered at or prior to the authentication upon original issuance of the first Security of such series to be issued.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and Exchange.</w:t>
      </w:r>
    </w:p>
    <w:p>
      <w:pPr>
        <w:spacing w:after="0" w:line="2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shall cause to be kept at the Corporate Trust Office or other designated office of the Trustee a register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Securities and of transfers of Securities entitled to registration or transfer as provided herein. The Trustee is hereby appointed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 The Company may at any time replace such Security Registrar, change such office or agency or act as its own Security Registrar. The Company will give prompt written notice to the Trustee of any change of the Security Registrar or of the location of such office or agency. At all reasonable times the Security Register shall be available for inspection by the Trustee.</w:t>
      </w:r>
    </w:p>
    <w:p>
      <w:pPr>
        <w:spacing w:after="0" w:line="18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76"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At the option of the Holder, Securities of any series (except a Global Security)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8" w:name="page29"/>
    <w:bookmarkEnd w:id="28"/>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not involving any transfer.</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Securities of any series (or of any series and specified tenor) are to be redeemed in part, neither the Company nor the Trustee shall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ending at the close of business on the day of such mailing, or (B) to register the transfer of or exchange any Security so selected for redemption in whole or in part, except the unredeemed portion of any Security being redeemed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Clauses (a), (b), (c) and (d) below shall apply only to Global Securities:</w:t>
      </w:r>
    </w:p>
    <w:p>
      <w:pPr>
        <w:spacing w:after="0" w:line="117" w:lineRule="exact"/>
        <w:rPr>
          <w:sz w:val="20"/>
          <w:szCs w:val="20"/>
          <w:color w:val="auto"/>
        </w:rPr>
      </w:pPr>
    </w:p>
    <w:p>
      <w:pPr>
        <w:ind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75" w:lineRule="exact"/>
        <w:rPr>
          <w:rFonts w:ascii="Times New Roman" w:cs="Times New Roman" w:eastAsia="Times New Roman" w:hAnsi="Times New Roman"/>
          <w:sz w:val="18"/>
          <w:szCs w:val="18"/>
          <w:color w:val="auto"/>
        </w:rPr>
      </w:pPr>
    </w:p>
    <w:p>
      <w:pPr>
        <w:ind w:right="80" w:firstLine="436"/>
        <w:spacing w:after="0" w:line="252"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Indenture, and subject to such applicable provisions, if any,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no Global Security may be exchanged in whole or in part for Securities registered, and no transfer of a Global Security in whole or in part may be registered, in the name of any Person other than the Depositary for such Global Security or a nominee thereof unless (1) such Depositary has notified the Company that it is unwilling or unable to continue as Depositary for such Global Security or has ceased to be a clearing agency registered under the Exchange Act, and a successor Depositary is not appointed by the Company within 90 days after the Company’s receipt of such notice, (2) there shall have occurred and be continuing an Event of Default with respect to such Global Security and the Security Registrar has received a request from the Depositary to issue certificated securities in lieu of the Global Security, (3) the Company shall determine in its sole discretion that Securities of a series issued in global form shall no longer be represented by a Global Security, or (4) there shall exist such circumstances, if any, in addition to or in lieu of the foregoing as have been specified for this purpose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then in any such case, such Global Security may be exchanged by such Depositary for definitive Securities of the same series, of any authorized denomination and of a like aggregate principal amount and tenor, registered in the names of, and the transfer of such Global Security or portion thereof may be registered to, such Persons as such Depositary shall direct. If the Company designates a successor Depositary pursuant to Clause (1) above,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(a), (b), (c) and (d) of this Section shall continue to apply thereto.</w:t>
      </w:r>
    </w:p>
    <w:p>
      <w:pPr>
        <w:spacing w:after="0" w:line="19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(b) above and to such applicable provisions, if any,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9" w:name="page30"/>
    <w:bookmarkEnd w:id="29"/>
    <w:p>
      <w:pPr>
        <w:ind w:left="4" w:firstLine="436"/>
        <w:spacing w:after="0" w:line="289" w:lineRule="auto"/>
        <w:tabs>
          <w:tab w:leader="none" w:pos="6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Every Security authenticated and delivered upon registration of transfer of, or in exchange for or in lieu of, a Global Security or any portion thereof, whether pursuant to this Section,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9.06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11.07</w:t>
      </w:r>
      <w:r>
        <w:rPr>
          <w:rFonts w:ascii="Times New Roman" w:cs="Times New Roman" w:eastAsia="Times New Roman" w:hAnsi="Times New Roman"/>
          <w:sz w:val="17"/>
          <w:szCs w:val="17"/>
          <w:color w:val="auto"/>
        </w:rPr>
        <w:t xml:space="preserve"> or otherwise, shall be authenticated and delivered in the form of, and shall be, a Global Security, unless such Security is registered in the name of a Person other than the Depositary for such Global Security or a nominee thereof.</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any mutilated Security is surrendered to the Trustee, together with such security or indemnity as may be required by the Company or the Trustee to save each of them and any agent of either of them harmless, the Company shall execute and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w:t>
      </w:r>
    </w:p>
    <w:p>
      <w:pPr>
        <w:spacing w:after="0" w:line="27" w:lineRule="exact"/>
        <w:rPr>
          <w:sz w:val="20"/>
          <w:szCs w:val="20"/>
          <w:color w:val="auto"/>
        </w:rPr>
      </w:pPr>
    </w:p>
    <w:p>
      <w:pPr>
        <w:ind w:left="4" w:hanging="4"/>
        <w:spacing w:after="0" w:line="251"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mutilated, destroyed, lost or stolen Security, a new Security of the same series and of like tenor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w:t>
      </w:r>
    </w:p>
    <w:p>
      <w:pPr>
        <w:spacing w:after="0" w:line="194"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the Company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w:t>
      </w:r>
    </w:p>
    <w:p>
      <w:pPr>
        <w:spacing w:after="0" w:line="176" w:lineRule="exact"/>
        <w:rPr>
          <w:sz w:val="20"/>
          <w:szCs w:val="20"/>
          <w:color w:val="auto"/>
        </w:rPr>
      </w:pPr>
    </w:p>
    <w:p>
      <w:pPr>
        <w:ind w:left="4" w:right="400" w:firstLine="440"/>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as otherwise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0" w:name="page31"/>
    <w:bookmarkEnd w:id="30"/>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interest on any Security of any series which is payable, but is not punctually paid or duly provided for, on any Interest Payment Date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Clause (a) or (b) below:</w:t>
      </w:r>
    </w:p>
    <w:p>
      <w:pPr>
        <w:spacing w:after="0" w:line="68" w:lineRule="exact"/>
        <w:rPr>
          <w:sz w:val="20"/>
          <w:szCs w:val="20"/>
          <w:color w:val="auto"/>
        </w:rPr>
      </w:pPr>
    </w:p>
    <w:p>
      <w:pPr>
        <w:ind w:right="20" w:firstLine="436"/>
        <w:spacing w:after="0" w:line="25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in consultation with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spacing w:after="0" w:line="197"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foregoing provisions of this Section and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For each series of Securities, the Company shall, prior to Noon, New York City time, on each payment date for principal and premium, if any, and interest, if any, deposit with the Trustee money in immediately available funds sufficient to make cash payments due on the applicable payment date.</w:t>
      </w:r>
    </w:p>
    <w:p>
      <w:pPr>
        <w:spacing w:after="0" w:line="14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any interest on such Security and for all other purposes whatsoever, whether or not such Security be overdue, and neither the Company, the Trustee nor any agent of the Company or the Trustee shall be affected by notice to the contrary.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 w:name="page32"/>
    <w:bookmarkEnd w:id="31"/>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p>
    <w:p>
      <w:pPr>
        <w:spacing w:after="0" w:line="22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All Securities surrendered for payment, redemption, registration of transfer or exchange or conversion or for credit against any sinking fund payment shall, if surrendered to any Person other than the Trustee, be delivered to the Trustee and, if not already cancelled,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customary procedures as directed by a Company Order, and the Trustee shall thereafter deliver to the Company a certificate with respect to such disposition.</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p>
    <w:p>
      <w:pPr>
        <w:spacing w:after="0" w:line="225"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interest on the Securities of each series shall be computed on the basis of a 360-day year of twelve 30-day months.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p>
    <w:p>
      <w:pPr>
        <w:spacing w:after="0" w:line="225"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in issuing the Securities may use “CUSIP” or “ISIN” numbers (in addition to the other identification numbers printed on the Securities), if then in use, and, if so, the Trustee shall use such “CUSIP” or “ISIN” numbers in notices of redemption as a convenience to Holders; provided, however, that any such notice may state that no representation is made as to the correctness of such “CUSIP” or “ISIN”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“ISIN” numbers. The Company will promptly notify the Trustee of any change in the “CUSIP” or “ISIN” numbers.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Original Issue Discount.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any of the Securities is an Original Issue Discount Security, the Company shall file with the Trustee promptly at the end of each calendar year</w:t>
      </w:r>
    </w:p>
    <w:p>
      <w:pPr>
        <w:spacing w:after="0" w:line="27" w:lineRule="exact"/>
        <w:rPr>
          <w:sz w:val="20"/>
          <w:szCs w:val="20"/>
          <w:color w:val="auto"/>
        </w:rPr>
      </w:pPr>
    </w:p>
    <w:p>
      <w:pPr>
        <w:ind w:left="4" w:right="240" w:hanging="4"/>
        <w:spacing w:after="0" w:line="255"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specifying the amount of original issue discount (including daily rates and accrual periods) accrued on such Outstanding Original Issue Discount Securities as of the end of such year and (2) such other specific information relating to such original issue discount as may then be relevant under the Internal Revenue Code.</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32" w:name="page33"/>
    <w:bookmarkEnd w:id="32"/>
    <w:p>
      <w:pPr>
        <w:ind w:left="3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 SATISFACTION AND DISCHARGE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Securities of any series (except as to any surviving rights of registration of transfer or exchange of Securities herein expressly provided for), and the Trustee, at the expense of the Company, shall execute proper instruments acknowledging satisfaction and discharge of this Indenture with respect to such Securities, when:</w:t>
      </w:r>
    </w:p>
    <w:p>
      <w:pPr>
        <w:spacing w:after="0" w:line="68" w:lineRule="exact"/>
        <w:rPr>
          <w:sz w:val="20"/>
          <w:szCs w:val="20"/>
          <w:color w:val="auto"/>
        </w:rPr>
      </w:pPr>
    </w:p>
    <w:p>
      <w:pPr>
        <w:ind w:left="680" w:hanging="24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right="140" w:firstLine="987"/>
        <w:spacing w:after="0" w:line="261" w:lineRule="auto"/>
        <w:tabs>
          <w:tab w:leader="none" w:pos="12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Securities theretofore authenticated and delivered (other than (i) such Securities which have been mutilated, destroyed, lost or stolen and which have been replaced or paid as provided in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(ii) such Securities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have been delivered to the Trustee cancelled or for cancellation; or</w:t>
      </w:r>
    </w:p>
    <w:p>
      <w:pPr>
        <w:spacing w:after="0" w:line="179"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as cancelled or for cancellation:</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440" w:right="700" w:firstLine="948"/>
        <w:spacing w:after="0" w:line="282" w:lineRule="auto"/>
        <w:tabs>
          <w:tab w:leader="none" w:pos="164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left="440" w:right="240"/>
        <w:spacing w:after="0" w:line="258" w:lineRule="auto"/>
        <w:rPr>
          <w:sz w:val="20"/>
          <w:szCs w:val="20"/>
          <w:color w:val="auto"/>
        </w:rPr>
      </w:pPr>
      <w:r>
        <w:rPr>
          <w:rFonts w:ascii="Times New Roman" w:cs="Times New Roman" w:eastAsia="Times New Roman" w:hAnsi="Times New Roman"/>
          <w:sz w:val="18"/>
          <w:szCs w:val="18"/>
          <w:color w:val="auto"/>
        </w:rPr>
        <w:t>and the Company in the case of (1), (2) or (3) above, has deposited or caused to be deposited with the Trustee, as trust funds in trust for such purpose, an amount of money in the currency or currency units in which such Securities are payable sufficient to pay and discharge the entire indebtedness on such Securities not theretofore delivered to the Trustee as cancelled or for cancellation, for principal and any premium and interest to the date of such deposit (in the case of such Securities which have become due and payable) or to the Stated Maturity or Redemption Date, as the case may be;</w:t>
      </w:r>
    </w:p>
    <w:p>
      <w:pPr>
        <w:spacing w:after="0" w:line="183" w:lineRule="exact"/>
        <w:rPr>
          <w:sz w:val="20"/>
          <w:szCs w:val="20"/>
          <w:color w:val="auto"/>
        </w:rPr>
      </w:pPr>
    </w:p>
    <w:p>
      <w:pPr>
        <w:ind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or otherwise made provision for the payment of, all other sums payable hereunder by the Company with respect to such Securities; and</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with respect to Securities of any series, the obligations of the Company to the Trustee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the obligations of the Trustee to any Authenticating Agent under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and the right of the Trustee to resign under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survive, and, if money shall have been deposited with the Trustee pursuant to subclause (2) of Clause (a) of this Section, the obligations of the Trustee under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survive such satisfaction and discharge.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3" w:name="page34"/>
    <w:bookmarkEnd w:id="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Application of Trust Money.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Subject to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all money deposited with the Trustee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held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trust and applied by it, in accordance with the provisions of the Securities and this Indenture, to the payment, either directly or through any Paying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 (including the Company acting as its own Paying Agent) as the Trustee may determine, to the Persons entitled thereto, of the principal and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premium and interest for whose payment such money has been deposited with the Trustee. All money deposited with the Trustee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held by it or any Paying Agent) for the payment of such Securities subsequently converted into other property shall be returned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upon Company Request. The Company may direct by a Company Order the investment of any money deposited with the Trustee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without distinction between principal and income, in (1) United States Treasury Securities with a maturity of one year or less or (2)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money market fund that invests solely in short term United States Treasury Securities (including money market funds for which the Trustee or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affiliate of the Trustee serves as investment advisor, administrator, shareholder, servicing agent and/or custodian or sub-custodian, notwithstanding that</w:t>
      </w:r>
    </w:p>
    <w:p>
      <w:pPr>
        <w:spacing w:after="0" w:line="9" w:lineRule="exact"/>
        <w:rPr>
          <w:sz w:val="20"/>
          <w:szCs w:val="20"/>
          <w:color w:val="auto"/>
        </w:rPr>
      </w:pPr>
    </w:p>
    <w:p>
      <w:pPr>
        <w:jc w:val="both"/>
        <w:ind w:left="4" w:right="80" w:hanging="4"/>
        <w:spacing w:after="0" w:line="255"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charges and collects fees and expenses from such funds for services rendered and (b) the Trustee charges and collects fees and expenses for services rendered pursuant to this Indenture at any time), and from time to time the Company may direct the reinvestment of all or a portion of such money in other securities or funds meeting the criteria specified in Clause (1) or (2) of this Section.</w:t>
      </w:r>
    </w:p>
    <w:p>
      <w:pPr>
        <w:spacing w:after="0" w:line="39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 REMEDIES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p>
    <w:p>
      <w:pPr>
        <w:spacing w:after="0" w:line="22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Except as may otherwise be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wherever used herein or in a Security issued hereunder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2" w:lineRule="exact"/>
        <w:rPr>
          <w:sz w:val="20"/>
          <w:szCs w:val="20"/>
          <w:color w:val="auto"/>
        </w:rPr>
      </w:pPr>
    </w:p>
    <w:p>
      <w:pPr>
        <w:ind w:left="4" w:right="40" w:firstLine="436"/>
        <w:spacing w:after="0" w:line="282"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Security of that series when it becomes due and payable, and continuance of such default for a period of 30 days;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Security of that series at its Maturity;</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Security of that series;</w:t>
      </w:r>
    </w:p>
    <w:p>
      <w:pPr>
        <w:spacing w:after="0" w:line="225" w:lineRule="exact"/>
        <w:rPr>
          <w:rFonts w:ascii="Times New Roman" w:cs="Times New Roman" w:eastAsia="Times New Roman" w:hAnsi="Times New Roman"/>
          <w:sz w:val="18"/>
          <w:szCs w:val="18"/>
          <w:color w:val="auto"/>
        </w:rPr>
      </w:pPr>
    </w:p>
    <w:p>
      <w:pPr>
        <w:ind w:left="4" w:right="40" w:firstLine="436"/>
        <w:spacing w:after="0" w:line="277" w:lineRule="auto"/>
        <w:tabs>
          <w:tab w:leader="none" w:pos="6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covenant of the Company in this Indenture (other than a default in the performance or the breach of a covenant which is specifically dealt with elsewhere in this Section or which has expressly been included in this Indenture solely for the benefit of series of Securities other than that series), and continuance of such default or breach for a period of 90 days after there has been given to the Company by the Trustee or to the Company and the Trustee by the Holders of at least 25% in aggregate principal amount of the Outstanding Securities of that series a written notice specifying such default or breach and requiring it to be remedied and stating that such notice is a “Notice of Default” hereunder;</w:t>
      </w:r>
    </w:p>
    <w:p>
      <w:pPr>
        <w:spacing w:after="0" w:line="167" w:lineRule="exact"/>
        <w:rPr>
          <w:rFonts w:ascii="Times New Roman" w:cs="Times New Roman" w:eastAsia="Times New Roman" w:hAnsi="Times New Roman"/>
          <w:sz w:val="17"/>
          <w:szCs w:val="17"/>
          <w:color w:val="auto"/>
        </w:rPr>
      </w:pPr>
    </w:p>
    <w:p>
      <w:pPr>
        <w:ind w:left="4" w:right="40" w:firstLine="436"/>
        <w:spacing w:after="0" w:line="256"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(1) a decree or order for relief in respect of the Company in an involuntary case or proceeding under any applicable Federal or State bankruptcy, insolvency, reorganization or other similar law or (2)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34" w:name="page35"/>
    <w:bookmarkEnd w:id="34"/>
    <w:p>
      <w:pPr>
        <w:ind w:firstLine="436"/>
        <w:spacing w:after="0" w:line="254"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arrangement, adjustment or composition of or in respect of the Company under any applicable Federal or State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Event of Default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Securities of that series.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an Event of Default (other than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5.01(f)</w:t>
      </w:r>
      <w:r>
        <w:rPr>
          <w:rFonts w:ascii="Times New Roman" w:cs="Times New Roman" w:eastAsia="Times New Roman" w:hAnsi="Times New Roman"/>
          <w:sz w:val="18"/>
          <w:szCs w:val="18"/>
          <w:color w:val="auto"/>
        </w:rPr>
        <w:t xml:space="preserve">) with respect to Securities of any series at the time Outstanding occurs and is continuing, then in every such case the Trustee or the Holders of not less than 25% in aggregate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5.01(f)</w:t>
      </w:r>
      <w:r>
        <w:rPr>
          <w:rFonts w:ascii="Times New Roman" w:cs="Times New Roman" w:eastAsia="Times New Roman" w:hAnsi="Times New Roman"/>
          <w:sz w:val="18"/>
          <w:szCs w:val="18"/>
          <w:color w:val="auto"/>
        </w:rPr>
        <w:t xml:space="preserve">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may otherwise be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all or any specific Securities of any series, 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Company and the Trustee, may rescind and annul such declaration and its consequences if</w:t>
      </w:r>
    </w:p>
    <w:p>
      <w:pPr>
        <w:spacing w:after="0" w:line="180" w:lineRule="exact"/>
        <w:rPr>
          <w:sz w:val="20"/>
          <w:szCs w:val="20"/>
          <w:color w:val="auto"/>
        </w:rPr>
      </w:pPr>
    </w:p>
    <w:p>
      <w:pPr>
        <w:ind w:left="680" w:hanging="244"/>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 of that series;</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or rates prescribed therefor in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right="280" w:firstLine="987"/>
        <w:spacing w:after="0" w:line="282"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right="22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80"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of any judicial proceeding relative to the Company (or any other obligor upon the Securities), its property or its creditors, the Trustee (irrespective of whether the principal of the Securities shall then be due and payable as therein expressed or by declaration or otherwise and irrespective of whether the Trustee shall have made any demand for overdue principal or interest)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6" w:name="page37"/>
    <w:bookmarkEnd w:id="3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money or property collected or to be applied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To the payment of the amounts then due and unpaid for principal of and any premium and interest on the Securities in respect of which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benefit of which such money has been collected, ratably, without preference or priority of any kind (other than contractual subordination agreements pursuant to the Indenture), according to the amounts due and payable on such Securities for principal and any premium and interest, respectively;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balance, if any, to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assignee, trustee, liquidator or sequestrator (or similar official) or for any other remedy hereunder, unless:</w:t>
      </w:r>
    </w:p>
    <w:p>
      <w:pPr>
        <w:spacing w:after="0" w:line="54" w:lineRule="exact"/>
        <w:rPr>
          <w:sz w:val="20"/>
          <w:szCs w:val="20"/>
          <w:color w:val="auto"/>
        </w:rPr>
      </w:pPr>
    </w:p>
    <w:p>
      <w:pPr>
        <w:ind w:left="680" w:hanging="24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and if requested, provided to the Trustee reasonable security or indemnity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and, if requested, provision of security or indemnity, has failed to institute any such proceeding; and</w:t>
      </w:r>
    </w:p>
    <w:p>
      <w:pPr>
        <w:spacing w:after="0" w:line="161"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and Interest and to Convert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 in this Indenture, the Holder of any Security shall have the right, which is absolute and unconditional to receive payment of the principal of and any premium and (subject to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interest on such Security on the respective Stated Maturities expressed in such Security (or, in the case of redemption, on the Redemption Date or,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with respect to the replacement or payment of mutilated, destroyed, lost or stolen Securities in the last paragraph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680" w:hanging="24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225" w:lineRule="exact"/>
        <w:rPr>
          <w:rFonts w:ascii="Times New Roman" w:cs="Times New Roman" w:eastAsia="Times New Roman" w:hAnsi="Times New Roman"/>
          <w:sz w:val="18"/>
          <w:szCs w:val="18"/>
          <w:color w:val="auto"/>
        </w:rPr>
      </w:pPr>
    </w:p>
    <w:p>
      <w:pPr>
        <w:ind w:left="440" w:right="2120" w:hanging="4"/>
        <w:spacing w:after="0" w:line="500"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take any other action deemed proper by the Trustee which is not inconsistent with such direction. Section 5.13 </w:t>
      </w:r>
      <w:r>
        <w:rPr>
          <w:rFonts w:ascii="Times New Roman" w:cs="Times New Roman" w:eastAsia="Times New Roman" w:hAnsi="Times New Roman"/>
          <w:sz w:val="18"/>
          <w:szCs w:val="18"/>
          <w:u w:val="single" w:color="auto"/>
          <w:color w:val="auto"/>
        </w:rPr>
        <w:t>Waiver of Past Defaults.</w:t>
      </w:r>
    </w:p>
    <w:p>
      <w:pPr>
        <w:spacing w:after="0" w:line="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54" w:lineRule="exact"/>
        <w:rPr>
          <w:sz w:val="20"/>
          <w:szCs w:val="20"/>
          <w:color w:val="auto"/>
        </w:rPr>
      </w:pPr>
    </w:p>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any premium or interest on any Security of such series; or</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 covenant or provision hereof which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cannot be modified or amended without the consent of the Holder of each Outstanding Security of such series affected.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Undertaking for Costs.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(including the reasonable compensation, expenses and disbursements of its agents and counsel), and may assess reasonable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 a suit by a Holder under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or a suit by Holders of more than 10% in aggregate principal amount of the Outstanding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Waiver of Usury, Stay or Extension Laws.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 that it will not hinder, delay or impede the execution of any power herein granted to the Trustee, but will suffer and permit the execution of every such power as though no such law had been enacted.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THE TRUSTEE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Certain Duties and Responsibilities.</w:t>
      </w:r>
    </w:p>
    <w:p>
      <w:pPr>
        <w:spacing w:after="0" w:line="225"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any series of Securities:</w:t>
      </w:r>
    </w:p>
    <w:p>
      <w:pPr>
        <w:spacing w:after="0" w:line="117" w:lineRule="exact"/>
        <w:rPr>
          <w:rFonts w:ascii="Times New Roman" w:cs="Times New Roman" w:eastAsia="Times New Roman" w:hAnsi="Times New Roman"/>
          <w:sz w:val="18"/>
          <w:szCs w:val="18"/>
          <w:color w:val="auto"/>
        </w:rPr>
      </w:pPr>
    </w:p>
    <w:p>
      <w:pPr>
        <w:ind w:right="300" w:firstLine="987"/>
        <w:spacing w:after="0" w:line="312" w:lineRule="auto"/>
        <w:tabs>
          <w:tab w:leader="none" w:pos="120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w:t>
      </w:r>
    </w:p>
    <w:p>
      <w:pPr>
        <w:spacing w:after="0" w:line="139" w:lineRule="exact"/>
        <w:rPr>
          <w:rFonts w:ascii="Times New Roman" w:cs="Times New Roman" w:eastAsia="Times New Roman" w:hAnsi="Times New Roman"/>
          <w:sz w:val="17"/>
          <w:szCs w:val="17"/>
          <w:color w:val="auto"/>
        </w:rPr>
      </w:pPr>
    </w:p>
    <w:p>
      <w:pPr>
        <w:ind w:firstLine="987"/>
        <w:spacing w:after="0" w:line="261" w:lineRule="auto"/>
        <w:tabs>
          <w:tab w:leader="none" w:pos="12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any series of Securities has occurred and is continuing, the Trustee shall exercise with respect to the Securities of such series such of the rights and powers vested in it by this Indenture, and use the same degree of care and skill in their exercise, as a prudent man would exercise under the circumstances in the conduct of his own affairs.</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right="40" w:firstLine="987"/>
        <w:spacing w:after="0" w:line="261" w:lineRule="auto"/>
        <w:tabs>
          <w:tab w:leader="none" w:pos="13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with respect to any action taken or omitted to be taken by it in good faith in accordance with the direction of the Holders of a majority in aggregate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and powers, if it shall have reasonable grounds for believing that repayment of such funds or adequate indemnity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Notice of Defaults.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Within 90 days after the occurrence, and during the continuance, of any default with respect to the Securities of any series that is known to the Trustee, the Trustee shall transmit, in the manner and to the extent provided in Section 313(c) of the Trust Indenture Act, notice of all such uncured or unwaived defaults; provided, however, that, except in the case of a default in the payment of the principal of (or premium, if any) or interest on Securities of any series or in the payment of any sinking or purchase fund installment with respect to such Securities,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Securities of such series; and provided, further, however, that in the case of any default of the character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with respect to the Securities of such series, no such notice to Holders of Securities shall be given until at least 60 days after the occurrence thereof. For the purpose of this Section, the term “default” means any event which is, or after notice or lapse of time or both would become, an Event of Default.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Certain Rights of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Company Request or Company Order, and any resolution of the Board of Directors shall be sufficiently evidenced by a Board Resolution;</w:t>
      </w:r>
    </w:p>
    <w:p>
      <w:pPr>
        <w:spacing w:after="0" w:line="161" w:lineRule="exact"/>
        <w:rPr>
          <w:rFonts w:ascii="Times New Roman" w:cs="Times New Roman" w:eastAsia="Times New Roman" w:hAnsi="Times New Roman"/>
          <w:sz w:val="18"/>
          <w:szCs w:val="18"/>
          <w:color w:val="auto"/>
        </w:rPr>
      </w:pPr>
    </w:p>
    <w:p>
      <w:pPr>
        <w:ind w:right="22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5" w:lineRule="exact"/>
        <w:rPr>
          <w:rFonts w:ascii="Times New Roman" w:cs="Times New Roman" w:eastAsia="Times New Roman" w:hAnsi="Times New Roman"/>
          <w:sz w:val="18"/>
          <w:szCs w:val="18"/>
          <w:color w:val="auto"/>
        </w:rPr>
      </w:pPr>
    </w:p>
    <w:p>
      <w:pPr>
        <w:ind w:right="960" w:firstLine="436"/>
        <w:spacing w:after="0" w:line="312" w:lineRule="auto"/>
        <w:tabs>
          <w:tab w:leader="none" w:pos="69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39" w:lineRule="exact"/>
        <w:rPr>
          <w:rFonts w:ascii="Times New Roman" w:cs="Times New Roman" w:eastAsia="Times New Roman" w:hAnsi="Times New Roman"/>
          <w:sz w:val="17"/>
          <w:szCs w:val="17"/>
          <w:color w:val="auto"/>
        </w:rPr>
      </w:pPr>
    </w:p>
    <w:p>
      <w:pPr>
        <w:ind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satisfactory to it against the costs, expenses and liabilities which might be incurred by it in compliance with such request or direction;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firstLine="436"/>
        <w:spacing w:after="0" w:line="258" w:lineRule="auto"/>
        <w:tabs>
          <w:tab w:leader="none" w:pos="6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without obligation to do so,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83"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its agents;</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avoid and mitigate the effects of such occurrences and to resume performance as soon as practicable under the circumstances);</w:t>
      </w:r>
    </w:p>
    <w:p>
      <w:pPr>
        <w:spacing w:after="0" w:line="167" w:lineRule="exact"/>
        <w:rPr>
          <w:rFonts w:ascii="Times New Roman" w:cs="Times New Roman" w:eastAsia="Times New Roman" w:hAnsi="Times New Roman"/>
          <w:sz w:val="17"/>
          <w:szCs w:val="17"/>
          <w:color w:val="auto"/>
        </w:rPr>
      </w:pPr>
    </w:p>
    <w:p>
      <w:pPr>
        <w:jc w:val="both"/>
        <w:ind w:right="380" w:firstLine="436"/>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written notice of any event which is in fact such a default shall have been received by a Responsible Officer of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7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(PDF only), facsimile transmission or other similar unsecured electronic methods; provided, however, that the Company shall provide to the Trustee an incumbency certificate listing designated persons with the authority to provide such instructions, which incumbency certificate shall be amended whenever a person is to be added or deleted from the listing. If the Company elects to give the Trustee e-mail or facsimile transmission instructions (or instructions by a similar electronic method) and the Trustee in its sole and absolute discretion elects to act upon such instructions, the Trustee’s understanding of such instructions shall be deemed controlling. The Trustee shall not be liable for any losses, damages, costs, fees or expenses arising directly or indirectly from the Trustee’s reliance upon and compliance with such instructions notwithstanding such instructions conflict or inconsistency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by third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Not Responsible for Recitals or Issuance of Securities.</w:t>
      </w:r>
    </w:p>
    <w:p>
      <w:pPr>
        <w:spacing w:after="0" w:line="225"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Neither the Trustee nor any Authenticating Agent makes any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May Hold Securities.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 w:cs="Times New Roman" w:eastAsia="Times New Roman" w:hAnsi="Times New Roman"/>
          <w:sz w:val="18"/>
          <w:szCs w:val="18"/>
          <w:u w:val="single" w:color="auto"/>
          <w:color w:val="auto"/>
        </w:rPr>
        <w:t>Sections 6.08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may otherwise deal with the Company with the same rights it would have if it were not Trustee, Authenticating Agent, Paying Agent, Security Registrar or such other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Money Held in Trust.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Compensation and Reimbursement.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117" w:lineRule="exact"/>
        <w:rPr>
          <w:sz w:val="20"/>
          <w:szCs w:val="20"/>
          <w:color w:val="auto"/>
        </w:rPr>
      </w:pPr>
    </w:p>
    <w:p>
      <w:pPr>
        <w:ind w:right="180" w:firstLine="987"/>
        <w:spacing w:after="0" w:line="266"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reasonable compensation as shall be agreed in writing between the parties for all services rendered by it hereunder (which compensation shall not be limited by any provision of law in regard to the compensation of a trustee of an express trust);</w:t>
      </w:r>
    </w:p>
    <w:p>
      <w:pPr>
        <w:spacing w:after="0" w:line="175" w:lineRule="exact"/>
        <w:rPr>
          <w:rFonts w:ascii="Times New Roman" w:cs="Times New Roman" w:eastAsia="Times New Roman" w:hAnsi="Times New Roman"/>
          <w:sz w:val="18"/>
          <w:szCs w:val="18"/>
          <w:color w:val="auto"/>
        </w:rPr>
      </w:pPr>
    </w:p>
    <w:p>
      <w:pPr>
        <w:jc w:val="both"/>
        <w:ind w:firstLine="987"/>
        <w:spacing w:after="0" w:line="281" w:lineRule="auto"/>
        <w:tabs>
          <w:tab w:leader="none" w:pos="125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own negligence or willful misconduct, and the Trustee shall provide the Company reasonable notice of any expenditure not in the ordinary course of business; and</w:t>
      </w:r>
    </w:p>
    <w:p>
      <w:pPr>
        <w:spacing w:after="0" w:line="164" w:lineRule="exact"/>
        <w:rPr>
          <w:rFonts w:ascii="Times New Roman" w:cs="Times New Roman" w:eastAsia="Times New Roman" w:hAnsi="Times New Roman"/>
          <w:sz w:val="17"/>
          <w:szCs w:val="17"/>
          <w:color w:val="auto"/>
        </w:rPr>
      </w:pPr>
    </w:p>
    <w:p>
      <w:pPr>
        <w:ind w:right="340" w:firstLine="987"/>
        <w:spacing w:after="0" w:line="261" w:lineRule="auto"/>
        <w:tabs>
          <w:tab w:leader="none" w:pos="13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for, and to hold it harmless against, any loss, liability or expense incurred without negligence or willful misconduct on its part, arising out of or in connection with the acceptance or administration of the trust or trusts hereunder, including the reasonable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under this Section to compensate the Trustee and to pay or reimburse the Trustee for expenses, disbursements and advances shall constitute additional indebtedness hereunder.</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any rights available to the Trustee under applicable law,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the expenses (including the reasonable charges and expenses of its counsel) and the compensation for such services are intended to constitute expenses of administration under any applicable Federal or State bankruptcy, insolvency, reorganization or other similar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this Section shall survive the satisfaction and discharge of this Indenture and the defeasance of the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6.08 </w:t>
      </w:r>
      <w:r>
        <w:rPr>
          <w:rFonts w:ascii="Times New Roman" w:cs="Times New Roman" w:eastAsia="Times New Roman" w:hAnsi="Times New Roman"/>
          <w:sz w:val="18"/>
          <w:szCs w:val="18"/>
          <w:u w:val="single" w:color="auto"/>
          <w:color w:val="auto"/>
        </w:rPr>
        <w:t>Conflicting Interests.</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Corporate Trustee Required, Eligibility.</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Resignation and Removal, Appointment of Successor.</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may resign at any time with respect to the Securities of one or more series by giving written notice thereof to the Company. If the instrument of acceptance by a successor Trustee required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aggregate principal amount of the Outstanding Securities of such series, by written notice delivered to the Trustee and to the Company. If an instrument of acceptance by a successor Trustee shall not have been delivered to the Trustee within 30 days after giving of such notice of removal, the removed Trustee may petition any court of competent jurisdiction for the appointment of a successor Trustee.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at any time:</w:t>
      </w:r>
    </w:p>
    <w:p>
      <w:pPr>
        <w:spacing w:after="0" w:line="117" w:lineRule="exact"/>
        <w:rPr>
          <w:sz w:val="20"/>
          <w:szCs w:val="20"/>
          <w:color w:val="auto"/>
        </w:rPr>
      </w:pPr>
    </w:p>
    <w:p>
      <w:pPr>
        <w:ind w:right="300" w:firstLine="436"/>
        <w:spacing w:after="0" w:line="28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after written request therefor by the Company or by any Holder who has been a bona fide Holder of a Security for at least six months;</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under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then, in any such case, (1) the Company by a Board Resolution may remove the Trustee with respect to all Securities of which such Trustee acts as trustee, or (2)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Holders of 10% in aggregate principal amount of Securities of any series who have been bona fide Holders of such Securities for at least six months may, on behalf of themselves and all others similarly situated, petition any court of competent jurisdiction for the removal of the Trustee with respect to all Securities of which such Trustee acts as trustee and the appointment of a successor Trustee or Trustees.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3" w:name="page44"/>
    <w:bookmarkEnd w:id="43"/>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Holders of 10% in aggregate principal amount of Securities of any series who have been bona fide Holders of such Securities of such series for at least six months or the Trustee may, on behalf of themselves and all others similarly situated, petition any court of competent jurisdiction for the appointment of a successor Trustee with respect to the Securities of such series.</w:t>
      </w:r>
    </w:p>
    <w:p>
      <w:pPr>
        <w:spacing w:after="0" w:line="187"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Acceptance of Appointment by Successor.</w:t>
      </w:r>
    </w:p>
    <w:p>
      <w:pPr>
        <w:spacing w:after="0" w:line="225"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reimbursement of its expenses (including reasonable fees and expenses of counsel and agents), if any, to which such retiring Trustee is otherwise legally entitled,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1"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sz w:val="20"/>
          <w:szCs w:val="20"/>
          <w:color w:val="auto"/>
        </w:rPr>
      </w:pPr>
    </w:p>
    <w:p>
      <w:pPr>
        <w:ind w:left="4" w:hanging="4"/>
        <w:spacing w:after="0" w:line="251"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44" w:name="page45"/>
    <w:bookmarkEnd w:id="44"/>
    <w:p>
      <w:pPr>
        <w:jc w:val="both"/>
        <w:ind w:right="5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Merger, Conversion, Consolidation or Succession to Business.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Preferential Collection of Claims Against Company.</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Appointment of Authenticating Agent.</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Trustee may appoint an Authenticating Agent or Agents with respect to one or more series of Securities which shall be authorized to act on behalf of and subject to the direction of the Trustee to authenticate and deliver Securities of such series issued upon original issue and upon exchange, registration of transfer or partial redemption thereof or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5" w:name="page46"/>
    <w:bookmarkEnd w:id="4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be the successor of the Authenticating Agent hereunder, provided such corporation shall be otherwise eligible under this Section, without the execution or filing of any paper or any further act on the part of the Trustee or the Authenticating Agent.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an Authenticating Agent appointed at the request of the Company, the Trustee agrees to pay to each Authenticating Agent from time to time reasonable compensation for its services under this Section.</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tabs>
          <w:tab w:leader="none" w:pos="850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-7620</wp:posOffset>
            </wp:positionV>
            <wp:extent cx="21139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Authenticating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-7620</wp:posOffset>
            </wp:positionV>
            <wp:extent cx="2113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ARTICLE VII. HOLDERS’ LISTS AND REPORTS BY TRUSTEE AND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Company to Furnish Trustee Names and Addresses of 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furnish or cause to be furnished to the Trustee:</w:t>
      </w:r>
    </w:p>
    <w:p>
      <w:pPr>
        <w:spacing w:after="0" w:line="117" w:lineRule="exact"/>
        <w:rPr>
          <w:sz w:val="20"/>
          <w:szCs w:val="20"/>
          <w:color w:val="auto"/>
        </w:rPr>
      </w:pPr>
    </w:p>
    <w:p>
      <w:pPr>
        <w:ind w:right="44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more than 15 days after each Regular Record Date, a list for each series of Securities, in such form as the Trustee may reasonably require, of the names and addresses of the Holders of Securities of such series as of such Regular Record Date; and</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provided, however, that if and so long as the Trustee shall be the Security Registrar for the Securities of a series, no such list need be furnished with respect to such series of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Preservation of Information; Communications to Holders.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compliance with its obligations pursuant to Section 312 of the Trust Indenture Act, the Trustee (i) shall preserve, in as current a form as is reasonably practicable, the names and addresses of Holders contained in the most recent list furnished to the Trustee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names and addresses of Holders received by the Trustee in its capacity as Security Registrar and (ii) may destroy any list furnished to it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upon receipt of a new list so furnished.</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the Securities, and the corresponding rights and privileges of the Trustee shall be as provided by the Trust Indenture Act.</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none of the Company, the Trustee nor any agent of any of them shall be held accountable by reason of any disclosure of information as to names and addresses of Holders made pursuant to the Trust Indenture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Trustee.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transmit to Holders such reports concerning the Trustee and its actions under this Indenture as may be required pursuant to the Trust Indenture Act at the times and in the manner provided pursuant thereto. As promptly as practicable after each May 15 beginning with the May 15 following the date of this Indenture, and in any event prior to July 15 in each year, the Trustee shall deliver to each Holder a brief report dated as of May 15 that complies with Trust Indenture Act Section 313(a). The Trustee also shall comply with Trust Indenture Act Section 313(b). Prior to delivery to the Holders, the Trustee shall deliver to the Company a copy of any report it delivers to Holders pursuant to this Section.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and automated quotation system, if any, upon which any Securities are listed, with the Commission and with the Company. The Company will notify the Trustee when any Securities are listed on any stock exchange or automated quotation system.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Reports by Company.</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the Company shall file with the Trustee, within 15 days after the Company files the same with the Commission, copies of the annual reports and the information, documents and other reports, if any, that it is required to file with the Commission pursuant to Section 13 or Section 15(d) of the Exchange Act or pursuant to Section 314 of the Trust Indenture Act; provided that the filing with the Trustee and the Commission of such annual reports, information, documents and other reports by an entity that is the direct or indirect parent of the Company shall satisfy the requirements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in lieu of any such reporting by the Company, so long as (x) such entity is an obligor on, or full and unconditional guarantor of, the Securities and (y) the information, documents and reports of such parent entity include all financial statements and other information regarding the Company as may be required by Rule 3-10 of Regulation S-X or other applicable rule of the Commission to be included in reports filed by a parent company that guarantees debt issued by a subsidiary that is thereby exempt from the reporting obligations under Sections 13 and 15(d) of the Exchange Act.</w:t>
      </w:r>
    </w:p>
    <w:p>
      <w:pPr>
        <w:spacing w:after="0" w:line="19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required information, documents and reports referred to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be deemed filed with the Trustee and transmitted by the Company to Holders at the time such information, documents and other reports are publicly filed with the Commission; provided, however, that the Trustee shall have no obligation whatsoever to determine whether or not such information, documents or reports have been so filed.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7" w:name="page48"/>
    <w:bookmarkEnd w:id="47"/>
    <w:p>
      <w:pPr>
        <w:ind w:left="1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 CONSOLIDATION, MERGER, CONVEYANCE, TRANSFER OR LEASE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Company May Consolidate, Etc., Only on Certain Terms.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into any other Person or convey, transfer or lease (as lessor) its properties and assets as, or substantially as, an entirety to any Person, unless:</w:t>
      </w:r>
    </w:p>
    <w:p>
      <w:pPr>
        <w:spacing w:after="0" w:line="54" w:lineRule="exact"/>
        <w:rPr>
          <w:sz w:val="20"/>
          <w:szCs w:val="20"/>
          <w:color w:val="auto"/>
        </w:rPr>
      </w:pPr>
    </w:p>
    <w:p>
      <w:pPr>
        <w:ind w:firstLine="436"/>
        <w:spacing w:after="0" w:line="25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merger, (1) the Company is the surviving Person, or (2) the Person formed by such consolidation or into which the Company is merged or the Person which acquires by conveyance or transfer, or which leases, the properties and assets of the Company as, or substantially as, an entirety shall be a corporation or partnership, shall be organized and validly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87"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exist; and</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Successor Substituted.</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of the Company with, or merger of the Company into, any other Person or any conveyance, transfer or lease (as lessor) of the properties and assets of the Company as, or substantially as, an entirety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(where the Company is the lessor), the predecessor Person shall be relieved of all obligations and covenants under this Indenture and the Securities.</w:t>
      </w:r>
    </w:p>
    <w:p>
      <w:pPr>
        <w:spacing w:after="0" w:line="3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IX. SUPPLEMENTAL INDENTURES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the Company and the Trustee, at any time and from time to time, may enter into one or more indentures supplemental hereto, in form satisfactory to the Trustee, for any of the following purposes:</w:t>
      </w:r>
    </w:p>
    <w:p>
      <w:pPr>
        <w:spacing w:after="0" w:line="54" w:lineRule="exact"/>
        <w:rPr>
          <w:sz w:val="20"/>
          <w:szCs w:val="20"/>
          <w:color w:val="auto"/>
        </w:rPr>
      </w:pPr>
    </w:p>
    <w:p>
      <w:pPr>
        <w:ind w:right="12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under this Indenture and the Securities and the assumption by such successor of the obligations of the Company hereunder;</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with regard to all or any series of Securities (and if any such surrender is to be made with regard to less than all series of Securities, stating that such surrender is expressly being made solely with regard to such series);</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8" w:name="page49"/>
    <w:bookmarkEnd w:id="48"/>
    <w:p>
      <w:pPr>
        <w:ind w:left="4" w:right="120" w:firstLine="436"/>
        <w:spacing w:after="0" w:line="266"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this Indenture in respect of all or any series of Securities (and if such addition, change or elimination is to apply to less than all series of Securities, stating that it is expressly being made to apply solely with respect to such series); provided that any such addition, change or elimination (1) shall neither (i) apply to any Security of any series created prior to the execution of such supplemental indenture and entitled to the benefit of such provision nor (ii) modify the rights of the Holder of any such Security with respect to such provision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effective only when there is no such Security Outstanding;</w:t>
      </w:r>
    </w:p>
    <w:p>
      <w:pPr>
        <w:spacing w:after="0" w:line="20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 any guarantee with respect to any Securities;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hereunder;</w:t>
      </w:r>
    </w:p>
    <w:p>
      <w:pPr>
        <w:spacing w:after="0" w:line="225" w:lineRule="exact"/>
        <w:rPr>
          <w:rFonts w:ascii="Times New Roman" w:cs="Times New Roman" w:eastAsia="Times New Roman" w:hAnsi="Times New Roman"/>
          <w:sz w:val="18"/>
          <w:szCs w:val="18"/>
          <w:color w:val="auto"/>
        </w:rPr>
      </w:pPr>
    </w:p>
    <w:p>
      <w:pPr>
        <w:jc w:val="both"/>
        <w:ind w:left="4" w:right="380" w:firstLine="436"/>
        <w:spacing w:after="0" w:line="266" w:lineRule="auto"/>
        <w:tabs>
          <w:tab w:leader="none" w:pos="6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herein which may be defective or inconsistent with any other provision herein;</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this Indenture, provided that such action pursuant to this Clause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shall not adversely affect the interests of the Holders of any Securities of any Outstanding series in any material respect;</w:t>
      </w:r>
    </w:p>
    <w:p>
      <w:pPr>
        <w:spacing w:after="0" w:line="206"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guarantors with respect to the Securities as parties to this Indenture or to release guarantors in accordance with the provisions of any supplemental indenture;</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this Indenture under the Trust Indenture Act;</w:t>
      </w:r>
    </w:p>
    <w:p>
      <w:pPr>
        <w:spacing w:after="0" w:line="225"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4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or regulations of any securities exchange or automated quotation system on which any of the Securities may be listed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traded;</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limitations established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to provide for the issuance of additional Securities of any series; or</w:t>
      </w:r>
    </w:p>
    <w:p>
      <w:pPr>
        <w:spacing w:after="0" w:line="22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any supplemental indenture, one or more series of Securities or any related guarantees or security documents, if any, to the description of such Securities contained in the Company’s prospectus, prospectus supplement, offering memorandum or similar document with respect to the offering of the Securities of such series.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aggregate principal amount of the Outstanding Securities of each series affected by such supplemental indenture (including consents obtained in connection with a tender offer or exchange for Securities), by Act of said Holders delivered to the Company and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9" w:name="page50"/>
    <w:bookmarkEnd w:id="4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the Company, when authorized by a Board Resolution, and the Trustee may enter into an indenture or indentures supplemental hereto for the purpose of adding any provisions to, or changing in any manner or eliminating any of the provisions of, this Indenture, or modifying in any manner the rights of the Holders of Securities of such series under this Indenture; provided, however, that no such supplemental indenture shall, without the consent of the Holder of each Outstanding Security of such series affected thereby:</w:t>
      </w:r>
    </w:p>
    <w:p>
      <w:pPr>
        <w:spacing w:after="0" w:line="72" w:lineRule="exact"/>
        <w:rPr>
          <w:sz w:val="20"/>
          <w:szCs w:val="20"/>
          <w:color w:val="auto"/>
        </w:rPr>
      </w:pPr>
    </w:p>
    <w:p>
      <w:pPr>
        <w:ind w:firstLine="436"/>
        <w:spacing w:after="0" w:line="256"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or change the Company’s obligation to maintain an office or agency for payment of Securities and the other matters specified herein, or the coin or currency in which any Security is payable, or impair the right of any Holder to institute suit for the enforcement of any such payment on or after the Stated Maturity thereof (or, in the case of redemption, on or after the Redemption Date), or alter the method of computation of interest;</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75" w:lineRule="exact"/>
        <w:rPr>
          <w:rFonts w:ascii="Times New Roman" w:cs="Times New Roman" w:eastAsia="Times New Roman" w:hAnsi="Times New Roman"/>
          <w:sz w:val="18"/>
          <w:szCs w:val="18"/>
          <w:color w:val="auto"/>
        </w:rPr>
      </w:pPr>
    </w:p>
    <w:p>
      <w:pPr>
        <w:ind w:right="200" w:firstLine="436"/>
        <w:spacing w:after="0" w:line="258"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or the deletion of this proviso, in accordance with the requirements of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9.01(h)</w:t>
      </w:r>
      <w:r>
        <w:rPr>
          <w:rFonts w:ascii="Times New Roman" w:cs="Times New Roman" w:eastAsia="Times New Roman" w:hAnsi="Times New Roman"/>
          <w:sz w:val="18"/>
          <w:szCs w:val="18"/>
          <w:color w:val="auto"/>
        </w:rPr>
        <w:t>; or</w:t>
      </w:r>
    </w:p>
    <w:p>
      <w:pPr>
        <w:spacing w:after="0" w:line="183"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Securities of any series are convertible into or for any other securities or property of the Company, make any change that adversely affects in any material respect the right to convert any Security of such series (except as permitted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or decrease the conversion rate or increase the conversion price of any such Security of such series, unless such decrease or increase is permitted by the terms of such Security.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or other provision of this Indenture that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shall be fully protected in relying upon, an Officer’s Certificate and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Conformity with Trust Indenture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Failure to make a notation or issue a new Security shall not affect the validity and effect of any amendment, supplement or waiver.</w:t>
      </w: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ARTICLE X.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and Interest.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for the benefit of each series of Securities that it will duly and punctually pay the principal of and premium, if any, and interest on the Securities of that series in accordance with the terms of the Securities and this Indenture. Principal, premium, if any, and interest will be considered paid on the date due if the Trustee or Paying Agent, if other than the Company or a Subsidiary thereof, holds as of Noon, New York City time, on the due date, money deposited by the Company in immediately available funds and designated for and sufficient to pay all principal, premium, if any, and interest on the Notes then due.</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specified with respect to a series of Securities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Company hereby initially designates as the Place of Payment for each series of Securities The City of New York, and initially appoints the Trustee as Paying Agent at its Corporate Trust Office as the Company’s office or agency for each such purpose in such city; provided that with respect to a Global Security, and except as may otherwise be specified for such Global Security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any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Times New Roman" w:cs="Times New Roman" w:eastAsia="Times New Roman" w:hAnsi="Times New Roman"/>
          <w:sz w:val="18"/>
          <w:szCs w:val="18"/>
          <w:u w:val="single" w:color="auto"/>
          <w:color w:val="auto"/>
        </w:rPr>
        <w:t>Money for Securities Payments to Be Held in Trust.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Whenever the Company shall have one or more Paying Agents for any series of Securities, it will, on or prior to Noon, New York City time, on each due date of the principal of or any premium or interest on any Securities of that series, deposit (or, if the Company has deposited any trust funds with a trustee pursuant to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cause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(and premium, if any) or interest, if any, on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(and premium, if any) or interest, if any, on the Securities of that series; and (3) during the continuance of any such default, upon the written request of the Trustee, forthwith pay to the Trustee all sums held in trust by such Paying Agent for payment in respect of the Securities of that series.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any further liability with respect to such money.</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any applicable abandoned property law,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Statement by Officer as to Default.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will deliver to the Trustee, within 120 days after the end of each of its fiscal years ending after the date hereof,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 signer thereof may have knowledge.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Existence.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Company will do or cause to be done all things necessary to preserve and keep in full force and effect its corporate (or equivalent) existence.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Waiver of Certain Covenants.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such series, the Company may, with respect to the Securities of any series, omit in any particular instance to comply with any term, provision or condition set forth in any covenant pursuant to </w:t>
      </w:r>
      <w:r>
        <w:rPr>
          <w:rFonts w:ascii="Times New Roman" w:cs="Times New Roman" w:eastAsia="Times New Roman" w:hAnsi="Times New Roman"/>
          <w:sz w:val="18"/>
          <w:szCs w:val="18"/>
          <w:u w:val="single" w:color="auto"/>
          <w:color w:val="auto"/>
        </w:rPr>
        <w:t>Sections 3.01(u)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for the benefit of the Holders of such series if before the time for such compliance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REDEMPTION OF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Securities of any series that are redeemable before their Stated Maturity shall be redeemable in accordance with their terms and (except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in accordance with this Article.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election of the Company to redeem any Securities shall be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in case of any redemption at the election of the Company of the Securities of any series (including any such redemption affecting only a single Security), the Company shall, not less than 10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furnish the Trustee with an Officer’s Certificate evidencing compliance with such restriction or condition.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complies with any securities exchange or other Applicable Procedures;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4"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3" w:name="page54"/>
    <w:bookmarkEnd w:id="53"/>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promptly notify the Company and each Security Registrar in writing of the Securities selected for redemption as aforesaid and, in case of any Securities selected for partial redemption as aforesaid, the principal amount thereof to be redeemed.</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the Company shall so direct, Securities registered in the name of the Company, any Affiliate or any Subsidiary thereof shall not be included in the Securities selected for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notice of redemption shall be given by first-class mail, postage prepaid, mailed or otherwise in accordance with the Applicable Procedures not less than 10 nor more than 60 days prior to the Redemption Date (or within such period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the relevant Securities), to each Holder of Securities to be redeemed, at such Holder’s address appearing in the Security Register.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established in or pursuant to a Board Resolution or an Officer’s Certificate or in another manner specified as contemplated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for such Securities, all notices of redemption shall identify the Securities to be redeemed (including CUSIP numbers, if any) and shall state:</w:t>
      </w:r>
    </w:p>
    <w:p>
      <w:pPr>
        <w:spacing w:after="0" w:line="110" w:lineRule="exact"/>
        <w:rPr>
          <w:sz w:val="20"/>
          <w:szCs w:val="20"/>
          <w:color w:val="auto"/>
        </w:rPr>
      </w:pPr>
    </w:p>
    <w:p>
      <w:pPr>
        <w:ind w:left="680" w:hanging="244"/>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the method of calculating such price);</w:t>
      </w:r>
    </w:p>
    <w:p>
      <w:pPr>
        <w:spacing w:after="0" w:line="22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each such Security is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Securities that by their terms may be converted, the terms of conversion, the date on which the right to convert the Security to be redeemed will terminate and the place or places where such Securities may be surrendered for conversion;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described in the second paragraph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4" w:name="page55"/>
    <w:bookmarkEnd w:id="54"/>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redemption of Securities to be redeemed at the election of the Company shall be given by the Company or, at the Company’s request (which may be rescinded or revoked at any time prior the time at which the Trustee shall have given such notice to the Holders), by the Trustee in the name and at the expense of the Company. The notice, if sent in the manner herein provided, shall be conclusively presumed to have been given, whether or not the Holder receives such notice. In any case, failure to give such notice by mail or otherwise in accordance with the Applicable Procedures or any defect in the notice to the Holder of any Security designated for redemption as a whole or in part shall not affect the validity of the proceedings for the redemption of any other Securities.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Any redemption or notice may, at the Company’s discretion, be subject to one or more conditions precedent and, at the Company’s discretion, the Redemption Date may be delayed until such time as any or all such conditions precedent included at the Company’s discretion shall be satisfied (or waived by the Company) or the Redemption Date may not occur and such notice may be rescinded if all such conditions precedent included at the Company’s discretion shall not have been satisfied (or waived by the Company). In addition, such notice may provide that payment of the Redemption Price and performance of the Company’s obligations with respect to such redemption may be performed by another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established in or pursuant to a Board Resolution or an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 on or prior to Noon, New York City time, on any Redemption Date, the Company shall deposit with the Trustee or with a Paying Agent (or, if the Company is acting as its own Paying Agent, segregate and hold in trust as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 amount of money sufficient to pay the Redemption Price of, and (except if the Redemption Date shall be an Interest Payment Date or the Securities of the series provide otherwise) accrued interest on, all the Securities that are to be redeemed on that date, other than Securities or portions of Securities called for redemption that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any Security called for redemption is converted into shares of common stock or other securities of the Company, any parent entity or any other Person in compliance with the terms of such Security,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in the terms of such Security) be paid to the Company upon Company Request or, if then held by the Company, shall be discharged from such trust.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provided, however, that, 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provided further that, unless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if the Redemption Date is after a Regular Record Date and on or prior to the Interest Payment Date, the accrued and unpaid interest shall be payable to the Holder of the redeemed Securities registered on the relevant Regular Record Date.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11.07 </w:t>
      </w:r>
      <w:r>
        <w:rPr>
          <w:rFonts w:ascii="Times New Roman" w:cs="Times New Roman" w:eastAsia="Times New Roman" w:hAnsi="Times New Roman"/>
          <w:sz w:val="18"/>
          <w:szCs w:val="18"/>
          <w:u w:val="single" w:color="auto"/>
          <w:color w:val="auto"/>
        </w:rPr>
        <w:t>Securities Redeemed in Part.</w:t>
      </w:r>
    </w:p>
    <w:p>
      <w:pPr>
        <w:spacing w:after="0" w:line="225" w:lineRule="exact"/>
        <w:rPr>
          <w:sz w:val="20"/>
          <w:szCs w:val="20"/>
          <w:color w:val="auto"/>
        </w:rPr>
      </w:pPr>
    </w:p>
    <w:p>
      <w:pPr>
        <w:ind w:right="380" w:firstLine="440"/>
        <w:spacing w:after="0" w:line="256" w:lineRule="auto"/>
        <w:rPr>
          <w:sz w:val="20"/>
          <w:szCs w:val="20"/>
          <w:color w:val="auto"/>
        </w:rPr>
      </w:pPr>
      <w:r>
        <w:rPr>
          <w:rFonts w:ascii="Times New Roman" w:cs="Times New Roman" w:eastAsia="Times New Roman" w:hAnsi="Times New Roman"/>
          <w:sz w:val="18"/>
          <w:szCs w:val="18"/>
          <w:color w:val="auto"/>
        </w:rPr>
        <w:t>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SINKING FUNDS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Article shall be applicable to any sinking fund for the retirement of Securities of any series except as otherwise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any series of Securities is herein referred to as a “</w:t>
      </w:r>
      <w:r>
        <w:rPr>
          <w:rFonts w:ascii="Times New Roman" w:cs="Times New Roman" w:eastAsia="Times New Roman" w:hAnsi="Times New Roman"/>
          <w:sz w:val="18"/>
          <w:szCs w:val="18"/>
          <w:b w:val="1"/>
          <w:bCs w:val="1"/>
          <w:color w:val="auto"/>
        </w:rPr>
        <w:t>mandatory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such Securities is herein referred to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optional sinking fund payment</w:t>
      </w:r>
      <w:r>
        <w:rPr>
          <w:rFonts w:ascii="Times New Roman" w:cs="Times New Roman" w:eastAsia="Times New Roman" w:hAnsi="Times New Roman"/>
          <w:sz w:val="17"/>
          <w:szCs w:val="17"/>
          <w:color w:val="auto"/>
        </w:rPr>
        <w:t>”. If provided for by the terms of any series of Securities, the cash amount of any sinking fund payment may be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reduction as provided in </w:t>
      </w:r>
      <w:r>
        <w:rPr>
          <w:rFonts w:ascii="Times New Roman" w:cs="Times New Roman" w:eastAsia="Times New Roman" w:hAnsi="Times New Roman"/>
          <w:sz w:val="17"/>
          <w:szCs w:val="17"/>
          <w:u w:val="single" w:color="auto"/>
          <w:color w:val="auto"/>
        </w:rPr>
        <w:t>Section 12.02</w:t>
      </w:r>
      <w:r>
        <w:rPr>
          <w:rFonts w:ascii="Times New Roman" w:cs="Times New Roman" w:eastAsia="Times New Roman" w:hAnsi="Times New Roman"/>
          <w:sz w:val="17"/>
          <w:szCs w:val="17"/>
          <w:color w:val="auto"/>
        </w:rPr>
        <w:t>. Each sinking fund payment shall be applied to the redemption of Securities of the series as provided for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such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 less than 45 days (or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Sections 11.06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6" w:name="page57"/>
    <w:bookmarkEnd w:id="56"/>
    <w:p>
      <w:pPr>
        <w:ind w:left="28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 DEFEASANCE AND COVENANT DEFEASANCE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Company’s Option to Effect Defeasance or Covenant Defeasance.</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elect, at its option at any time, to have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apply to any Securities or any series of Securities, as the case may be, designated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as being defeasible pursuant to such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in accordance with any applicable requirements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upon compliance with the conditions set forth below in this Article. Any such election shall be evidenced by a Board Resolution, Officer’s Certificate or in another manner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such Securities.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Defeasance and Discharge.</w:t>
      </w:r>
    </w:p>
    <w:p>
      <w:pPr>
        <w:spacing w:after="0" w:line="225"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the Company’s exercise of its option (if any) to have this Section apply to any Securities or any series of Securities, as the case may be, the Company shall be deemed to have been discharged from its obligations with respect to such Securities as provided in this Section on and after the date the conditions set forth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are satisfied (hereinafter called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(a) the rights of Holders of such Securities to receive, solely from the trust fund described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and as more fully set forth in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payments in respect of the principal of and any premium and interest on such Securities when payments are due, (b) the Company’s obligations with respect to such Securities under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(c) the rights, powers, trusts, duties and immunities of the Trustee hereunder and (d) this Article. Subject to compliance with this Article, the Company may exercise its option (if any) to have this Section applied to any Securities notwithstanding the prior exercise of its option (if any) to have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applied to such Securities.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Covenant Defeasance.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Upon the Company’s exercise of its option (if any) to have this Section applied to any Securities or any series of Securities, as the case may be,</w:t>
      </w:r>
    </w:p>
    <w:p>
      <w:pPr>
        <w:spacing w:after="0" w:line="27" w:lineRule="exact"/>
        <w:rPr>
          <w:sz w:val="20"/>
          <w:szCs w:val="20"/>
          <w:color w:val="auto"/>
        </w:rPr>
      </w:pPr>
    </w:p>
    <w:p>
      <w:pPr>
        <w:ind w:left="4" w:right="20" w:hanging="4"/>
        <w:spacing w:after="0" w:line="251"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released from its obligations under </w:t>
      </w:r>
      <w:r>
        <w:rPr>
          <w:rFonts w:ascii="Times New Roman" w:cs="Times New Roman" w:eastAsia="Times New Roman" w:hAnsi="Times New Roman"/>
          <w:sz w:val="18"/>
          <w:szCs w:val="18"/>
          <w:u w:val="single" w:color="auto"/>
          <w:color w:val="auto"/>
        </w:rPr>
        <w:t>Sections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and any covenants provided pursuant to </w:t>
      </w:r>
      <w:r>
        <w:rPr>
          <w:rFonts w:ascii="Times New Roman" w:cs="Times New Roman" w:eastAsia="Times New Roman" w:hAnsi="Times New Roman"/>
          <w:sz w:val="18"/>
          <w:szCs w:val="18"/>
          <w:u w:val="single" w:color="auto"/>
          <w:color w:val="auto"/>
        </w:rPr>
        <w:t>Section 3.01(u)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9.01(g)</w:t>
      </w:r>
      <w:r>
        <w:rPr>
          <w:rFonts w:ascii="Times New Roman" w:cs="Times New Roman" w:eastAsia="Times New Roman" w:hAnsi="Times New Roman"/>
          <w:sz w:val="18"/>
          <w:szCs w:val="18"/>
          <w:color w:val="auto"/>
        </w:rPr>
        <w:t xml:space="preserve"> for the benefit of the Holders of such Securities and (b) the occurrence of any event specified in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5.01(g)</w:t>
      </w:r>
      <w:r>
        <w:rPr>
          <w:rFonts w:ascii="Times New Roman" w:cs="Times New Roman" w:eastAsia="Times New Roman" w:hAnsi="Times New Roman"/>
          <w:sz w:val="18"/>
          <w:szCs w:val="18"/>
          <w:color w:val="auto"/>
        </w:rPr>
        <w:t xml:space="preserve"> shall be deemed not to be or result in an Event of Default, in each case with respect to such Securities as provided in this Section on and after the date the conditions set forth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are satisfied (hereinafter called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For this purpose, such Covenant Defeasance means that, with respect to such Securities, the Company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Conditions to Defeasance or Covenant Defeasance.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following shall be the conditions to the application of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xml:space="preserve"> to any Securities or any series of Securities, as the case may be:</w:t>
      </w:r>
    </w:p>
    <w:p>
      <w:pPr>
        <w:spacing w:after="0" w:line="117" w:lineRule="exact"/>
        <w:rPr>
          <w:sz w:val="20"/>
          <w:szCs w:val="20"/>
          <w:color w:val="auto"/>
        </w:rPr>
      </w:pPr>
    </w:p>
    <w:p>
      <w:pPr>
        <w:ind w:left="4" w:firstLine="436"/>
        <w:spacing w:after="0" w:line="253"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have deposited or caused to be deposited with the Trustee (or another trustee which satisfies the requirements contemplated by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in the case of any series of Securities the payment on which may only be made in legal coin or currency of the United States, U.S. Government Obligations which through the scheduled payment of principal and interest in respect thereof in accordance with their terms will provide, not later than Noon, New York City time, on the due date of any payment, money in an amount, or (C) such other obligations or arrangements as may be specified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such Securities, or (D) a combination thereof, in each case sufficient, in the opinion of an independent public accountant or financial advisor, in either case expressed in a written certification thereof to be delivered to the Trustee, to pay and discharge, and which shall be applied by the Trustee (or any such other qualifying trustee) to pay and discharge, (1) the principal of and any premium and interest on such Securities on the respective Stated Maturities, in accordance with the terms of this Indenture and such Securities or any Redemption Date established pursuant to Clause (i) below, and (2) any mandatory sinking fund payments on the dates on which such payments are due and payable in accordance with the terms of this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66" w:right="479" w:bottom="1440" w:gutter="0" w:footer="0" w:header="0"/>
        </w:sectPr>
      </w:pPr>
    </w:p>
    <w:bookmarkStart w:id="57" w:name="page58"/>
    <w:bookmarkEnd w:id="5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and such Securities. As used herein, “</w:t>
      </w:r>
      <w:r>
        <w:rPr>
          <w:rFonts w:ascii="Times New Roman" w:cs="Times New Roman" w:eastAsia="Times New Roman" w:hAnsi="Times New Roman"/>
          <w:sz w:val="18"/>
          <w:szCs w:val="18"/>
          <w:b w:val="1"/>
          <w:bCs w:val="1"/>
          <w:color w:val="auto"/>
        </w:rPr>
        <w:t>U.S. Government Obligation</w:t>
      </w:r>
      <w:r>
        <w:rPr>
          <w:rFonts w:ascii="Times New Roman" w:cs="Times New Roman" w:eastAsia="Times New Roman" w:hAnsi="Times New Roman"/>
          <w:sz w:val="18"/>
          <w:szCs w:val="18"/>
          <w:color w:val="auto"/>
        </w:rPr>
        <w:t>”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9" w:lineRule="exact"/>
        <w:rPr>
          <w:sz w:val="20"/>
          <w:szCs w:val="20"/>
          <w:color w:val="auto"/>
        </w:rPr>
      </w:pPr>
    </w:p>
    <w:p>
      <w:pPr>
        <w:ind w:left="4" w:right="180" w:firstLine="436"/>
        <w:spacing w:after="0" w:line="272" w:lineRule="auto"/>
        <w:tabs>
          <w:tab w:leader="none" w:pos="69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 election to have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 or</w:t>
      </w:r>
    </w:p>
    <w:p>
      <w:pPr>
        <w:spacing w:after="0" w:line="1" w:lineRule="exact"/>
        <w:rPr>
          <w:rFonts w:ascii="Times New Roman" w:cs="Times New Roman" w:eastAsia="Times New Roman" w:hAnsi="Times New Roman"/>
          <w:sz w:val="17"/>
          <w:szCs w:val="17"/>
          <w:color w:val="auto"/>
        </w:rPr>
      </w:pPr>
    </w:p>
    <w:p>
      <w:pPr>
        <w:ind w:left="4" w:hanging="4"/>
        <w:spacing w:after="0" w:line="277" w:lineRule="auto"/>
        <w:tabs>
          <w:tab w:leader="none" w:pos="28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8" w:lineRule="exact"/>
        <w:rPr>
          <w:rFonts w:ascii="Times New Roman" w:cs="Times New Roman" w:eastAsia="Times New Roman" w:hAnsi="Times New Roman"/>
          <w:sz w:val="17"/>
          <w:szCs w:val="17"/>
          <w:color w:val="auto"/>
        </w:rPr>
      </w:pPr>
    </w:p>
    <w:p>
      <w:pPr>
        <w:ind w:left="4" w:firstLine="436"/>
        <w:spacing w:after="0" w:line="281" w:lineRule="auto"/>
        <w:tabs>
          <w:tab w:leader="none" w:pos="68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 election to have </w:t>
      </w:r>
      <w:r>
        <w:rPr>
          <w:rFonts w:ascii="Times New Roman" w:cs="Times New Roman" w:eastAsia="Times New Roman" w:hAnsi="Times New Roman"/>
          <w:sz w:val="17"/>
          <w:szCs w:val="17"/>
          <w:u w:val="single" w:color="auto"/>
          <w:color w:val="auto"/>
        </w:rPr>
        <w:t>Section 13.03</w:t>
      </w:r>
      <w:r>
        <w:rPr>
          <w:rFonts w:ascii="Times New Roman" w:cs="Times New Roman" w:eastAsia="Times New Roman" w:hAnsi="Times New Roman"/>
          <w:sz w:val="17"/>
          <w:szCs w:val="17"/>
          <w:color w:val="auto"/>
        </w:rPr>
        <w:t xml:space="preserve"> apply to any Securities or any series of Securities, as the case may be, the Company shall have delivered to the Trustee an Opinion of Counsel that shall confirm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64" w:lineRule="exact"/>
        <w:rPr>
          <w:rFonts w:ascii="Times New Roman" w:cs="Times New Roman" w:eastAsia="Times New Roman" w:hAnsi="Times New Roman"/>
          <w:sz w:val="17"/>
          <w:szCs w:val="17"/>
          <w:color w:val="auto"/>
        </w:rPr>
      </w:pPr>
    </w:p>
    <w:p>
      <w:pPr>
        <w:ind w:left="4" w:right="220" w:firstLine="436"/>
        <w:spacing w:after="0" w:line="282"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which is, or after notice or lapse of time or both would become, an Event of Default shall have occurred and be continuing at the time of such deposit (other than such event or Event of Default (if any) resulting from the incurrence of indebtedness or the grant of liens securing such indebtedness, all or a portion of the proceeds of which will be applied to such deposit).</w:t>
      </w:r>
    </w:p>
    <w:p>
      <w:pPr>
        <w:spacing w:after="0" w:line="17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w:t>
      </w:r>
    </w:p>
    <w:p>
      <w:pPr>
        <w:spacing w:after="0" w:line="175"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result in a breach of, or constitute a default under, any material agreement or instrument (other than this Indenture) to which the Company is a party or by which it is bound, or if such breach or default would occur, which is not waived as of, and for all purposes, on and after, the date of such deposit.</w:t>
      </w:r>
    </w:p>
    <w:p>
      <w:pPr>
        <w:spacing w:after="0" w:line="175"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Before or after a deposit, the Company may make arrangements satisfactory to the Trustee for the redemption of Securities at a future date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6" w:right="459" w:bottom="1440" w:gutter="0" w:footer="0" w:header="0"/>
        </w:sectPr>
      </w:pPr>
    </w:p>
    <w:bookmarkStart w:id="58" w:name="page59"/>
    <w:bookmarkEnd w:id="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Times New Roman" w:cs="Times New Roman" w:eastAsia="Times New Roman" w:hAnsi="Times New Roman"/>
          <w:sz w:val="18"/>
          <w:szCs w:val="18"/>
          <w:u w:val="single" w:color="auto"/>
          <w:color w:val="auto"/>
        </w:rPr>
        <w:t>Deposited Money and U.S. Government Obligations to Be Held in Trust; Miscellaneous Provisions.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all money and U.S. Government Obligations (including the proceeds thereof) deposited with the Trustee or other qualifying trustee (solely for purposes of this Section and </w:t>
      </w:r>
      <w:r>
        <w:rPr>
          <w:rFonts w:ascii="Times New Roman" w:cs="Times New Roman" w:eastAsia="Times New Roman" w:hAnsi="Times New Roman"/>
          <w:sz w:val="18"/>
          <w:szCs w:val="18"/>
          <w:u w:val="single" w:color="auto"/>
          <w:color w:val="auto"/>
        </w:rPr>
        <w:t>Section 13.06</w:t>
      </w:r>
      <w:r>
        <w:rPr>
          <w:rFonts w:ascii="Times New Roman" w:cs="Times New Roman" w:eastAsia="Times New Roman" w:hAnsi="Times New Roman"/>
          <w:sz w:val="18"/>
          <w:szCs w:val="18"/>
          <w:color w:val="auto"/>
        </w:rPr>
        <w:t xml:space="preserve">, the Trustee and any such other trustee are referred to collectively as the “Trustee”)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89"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pay and indemnify the Trustee against any tax, fee or other charge imposed on or assessed against the U.S. Government Obligations deposited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or the principal and interest received in respect thereof other than any such tax, fee or other charge which by law is for the account of the Holders of Outstanding Securities; provided that the Trustee shall be entitled to charge any such tax, fee or other charge to such Holder’s account.</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Anything in this Article to the contrary notwithstanding, the Trustee shall deliver or pay to the Company from time to time upon Company Request any money or U.S. Government Obligations held by it as provided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with respect to any Securities which are in excess of the amount thereof which would then be required to be deposited to effect the Defeasance or Covenant Defeasance, as the case may be, with respect to such Securities.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Reinstatement.</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such Securities from which the Company has been discharged or released pursuant to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13.03</w:t>
      </w:r>
      <w:r>
        <w:rPr>
          <w:rFonts w:ascii="Times New Roman" w:cs="Times New Roman" w:eastAsia="Times New Roman" w:hAnsi="Times New Roman"/>
          <w:sz w:val="17"/>
          <w:szCs w:val="17"/>
          <w:color w:val="auto"/>
        </w:rPr>
        <w:t xml:space="preserve"> shall be revived and reinstated as though no deposit had occurred pursuant to this Article with respect to such Securities, until such time as the Trustee or Paying Agent is permitted to apply all money held in trust pursuant to </w:t>
      </w:r>
      <w:r>
        <w:rPr>
          <w:rFonts w:ascii="Times New Roman" w:cs="Times New Roman" w:eastAsia="Times New Roman" w:hAnsi="Times New Roman"/>
          <w:sz w:val="17"/>
          <w:szCs w:val="17"/>
          <w:u w:val="single" w:color="auto"/>
          <w:color w:val="auto"/>
        </w:rPr>
        <w:t>Section 13.05</w:t>
      </w:r>
      <w:r>
        <w:rPr>
          <w:rFonts w:ascii="Times New Roman" w:cs="Times New Roman" w:eastAsia="Times New Roman" w:hAnsi="Times New Roman"/>
          <w:sz w:val="17"/>
          <w:szCs w:val="17"/>
          <w:color w:val="auto"/>
        </w:rPr>
        <w:t xml:space="preserve"> with respect to such Securities in accordance with this Article; provided, however,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w:t>
      </w:r>
    </w:p>
    <w:p>
      <w:pPr>
        <w:spacing w:after="0" w:line="2" w:lineRule="exact"/>
        <w:rPr>
          <w:sz w:val="20"/>
          <w:szCs w:val="20"/>
          <w:color w:val="auto"/>
        </w:rPr>
      </w:pPr>
    </w:p>
    <w:p>
      <w:pPr>
        <w:ind w:left="4" w:right="280" w:hanging="4"/>
        <w:spacing w:after="0" w:line="255"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Company’s obligations has occurred and continues to be in effect.</w:t>
      </w:r>
    </w:p>
    <w:p>
      <w:pPr>
        <w:spacing w:after="0" w:line="1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4"/>
          </w:cols>
          <w:pgMar w:left="436" w:top="270"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19685</wp:posOffset>
            </wp:positionV>
            <wp:extent cx="2434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22860</wp:posOffset>
            </wp:positionV>
            <wp:extent cx="2434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-121920</wp:posOffset>
            </wp:positionV>
            <wp:extent cx="2434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0" w:lineRule="exact"/>
        <w:rPr>
          <w:sz w:val="20"/>
          <w:szCs w:val="20"/>
          <w:color w:val="auto"/>
        </w:rPr>
      </w:pPr>
    </w:p>
    <w:p>
      <w:pPr>
        <w:ind w:left="6180"/>
        <w:spacing w:after="0"/>
        <w:tabs>
          <w:tab w:leader="none" w:pos="7700" w:val="left"/>
        </w:tabs>
        <w:rPr>
          <w:sz w:val="20"/>
          <w:szCs w:val="20"/>
          <w:color w:val="auto"/>
        </w:rPr>
      </w:pP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19685</wp:posOffset>
            </wp:positionV>
            <wp:extent cx="2434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22860</wp:posOffset>
            </wp:positionV>
            <wp:extent cx="2434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-121920</wp:posOffset>
            </wp:positionV>
            <wp:extent cx="24345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49</w:t>
      </w:r>
    </w:p>
    <w:sectPr>
      <w:pgSz w:w="11900" w:h="16838" w:orient="portrait"/>
      <w:cols w:equalWidth="0" w:num="1">
        <w:col w:w="9680"/>
      </w:cols>
      <w:pgMar w:left="880" w:top="27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07"/>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8"/>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upperLetter"/>
      <w:start w:val="2"/>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0"/>
    </w:lvl>
  </w:abstractNum>
  <w:abstractNum w:abstractNumId="11">
    <w:nsid w:val="1E7FF521"/>
    <w:multiLevelType w:val="hybridMultilevel"/>
    <w:lvl w:ilvl="0">
      <w:lvlJc w:val="left"/>
      <w:lvlText w:val="(%1)"/>
      <w:numFmt w:val="lowerLetter"/>
      <w:start w:val="20"/>
    </w:lvl>
  </w:abstractNum>
  <w:abstractNum w:abstractNumId="12">
    <w:nsid w:val="7C3DBD3D"/>
    <w:multiLevelType w:val="hybridMultilevel"/>
    <w:lvl w:ilvl="0">
      <w:lvlJc w:val="left"/>
      <w:lvlText w:val="(%1)"/>
      <w:numFmt w:val="lowerLetter"/>
      <w:start w:val="27"/>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4"/>
    </w:lvl>
  </w:abstractNum>
  <w:abstractNum w:abstractNumId="16">
    <w:nsid w:val="4516DDE9"/>
    <w:multiLevelType w:val="hybridMultilevel"/>
    <w:lvl w:ilvl="0">
      <w:lvlJc w:val="left"/>
      <w:lvlText w:val="(%1)"/>
      <w:numFmt w:val="lowerRoman"/>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6"/>
    </w:lvl>
  </w:abstractNum>
  <w:abstractNum w:abstractNumId="24">
    <w:nsid w:val="77465F01"/>
    <w:multiLevelType w:val="hybridMultilevel"/>
    <w:lvl w:ilvl="0">
      <w:lvlJc w:val="left"/>
      <w:lvlText w:val="(%1)"/>
      <w:numFmt w:val="lowerLetter"/>
      <w:start w:val="1"/>
    </w:lvl>
    <w:lvl w:ilvl="1">
      <w:lvlJc w:val="left"/>
      <w:lvlText w:val="(%2)"/>
      <w:numFmt w:val="lowerRoman"/>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lvl w:ilvl="1">
      <w:lvlJc w:val="left"/>
      <w:lvlText w:val="(%2)"/>
      <w:numFmt w:val="lowerRoman"/>
      <w:start w:val="1"/>
    </w:lvl>
  </w:abstractNum>
  <w:abstractNum w:abstractNumId="30">
    <w:nsid w:val="2D517796"/>
    <w:multiLevelType w:val="hybridMultilevel"/>
    <w:lvl w:ilvl="0">
      <w:lvlJc w:val="left"/>
      <w:lvlText w:val="%1"/>
      <w:numFmt w:val="lowerLetter"/>
      <w:start w:val="1"/>
    </w:lvl>
    <w:lvl w:ilvl="1">
      <w:lvlJc w:val="left"/>
      <w:lvlText w:val="(%2)"/>
      <w:numFmt w:val="lowerRoman"/>
      <w:start w:val="3"/>
    </w:lvl>
  </w:abstractNum>
  <w:abstractNum w:abstractNumId="31">
    <w:nsid w:val="580BD78F"/>
    <w:multiLevelType w:val="hybridMultilevel"/>
    <w:lvl w:ilvl="0">
      <w:lvlJc w:val="left"/>
      <w:lvlText w:val="(%1)"/>
      <w:numFmt w:val="lowerLetter"/>
      <w:start w:val="4"/>
    </w:lvl>
    <w:lvl w:ilvl="1">
      <w:lvlJc w:val="left"/>
      <w:lvlText w:val="%2"/>
      <w:numFmt w:val="lowerRoman"/>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6"/>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
    </w:lvl>
    <w:lvl w:ilvl="1">
      <w:lvlJc w:val="left"/>
      <w:lvlText w:val="(%2)"/>
      <w:numFmt w:val="lowerLetter"/>
      <w:start w:val="4"/>
    </w:lvl>
  </w:abstractNum>
  <w:abstractNum w:abstractNumId="41">
    <w:nsid w:val="7A6D8D3C"/>
    <w:multiLevelType w:val="hybridMultilevel"/>
    <w:lvl w:ilvl="0">
      <w:lvlJc w:val="left"/>
      <w:lvlText w:val="(%1)"/>
      <w:numFmt w:val="decimal"/>
      <w:start w:val="2"/>
    </w:lvl>
    <w:lvl w:ilvl="1">
      <w:lvlJc w:val="left"/>
      <w:lvlText w:val="(%2)"/>
      <w:numFmt w:val="lowerLetter"/>
      <w:start w:val="6"/>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upperLetter"/>
      <w:start w:val="1"/>
    </w:lvl>
    <w:lvl w:ilvl="1">
      <w:lvlJc w:val="left"/>
      <w:lvlText w:val="(%2)"/>
      <w:numFmt w:val="lowerLetter"/>
      <w:start w:val="2"/>
    </w:lvl>
  </w:abstractNum>
  <w:abstractNum w:abstractNumId="47">
    <w:nsid w:val="32FFF902"/>
    <w:multiLevelType w:val="hybridMultilevel"/>
    <w:lvl w:ilvl="0">
      <w:lvlJc w:val="left"/>
      <w:lvlText w:val="(%1)"/>
      <w:numFmt w:val="upperLetter"/>
      <w:start w:val="2"/>
    </w:lvl>
    <w:lvl w:ilvl="1">
      <w:lvlJc w:val="left"/>
      <w:lvlText w:val="(%2)"/>
      <w:numFmt w:val="lowerLetter"/>
      <w:start w:val="3"/>
    </w:lvl>
  </w:abstractNum>
  <w:abstractNum w:abstractNumId="48">
    <w:nsid w:val="684A481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6"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22" Type="http://schemas.openxmlformats.org/officeDocument/2006/relationships/hyperlink" Target="http://www.sec.gov/Archives/edgar/data/1095981/000119312526252119/d138711dex11.htm" TargetMode="External"/><Relationship Id="rId23" Type="http://schemas.openxmlformats.org/officeDocument/2006/relationships/hyperlink" Target="http://www.sec.gov/Archives/edgar/data/1095981/000114036116057505/ex3_1.htm" TargetMode="External"/><Relationship Id="rId24" Type="http://schemas.openxmlformats.org/officeDocument/2006/relationships/hyperlink" Target="http://www.sec.gov/Archives/edgar/data/1095981/000156459018014245/cytx-ex31_6.htm" TargetMode="External"/><Relationship Id="rId25" Type="http://schemas.openxmlformats.org/officeDocument/2006/relationships/hyperlink" Target="http://www.sec.gov/Archives/edgar/data/1095981/000156459019026454/cytx-ex31_6.htm" TargetMode="External"/><Relationship Id="rId26" Type="http://schemas.openxmlformats.org/officeDocument/2006/relationships/hyperlink" Target="http://www.sec.gov/Archives/edgar/data/1095981/000156459019028996/pstv-ex31_18.htm" TargetMode="External"/><Relationship Id="rId27" Type="http://schemas.openxmlformats.org/officeDocument/2006/relationships/hyperlink" Target="http://www.sec.gov/Archives/edgar/data/1095981/000119312523127227/d475493dex31.htm" TargetMode="External"/><Relationship Id="rId28" Type="http://schemas.openxmlformats.org/officeDocument/2006/relationships/hyperlink" Target="http://www.sec.gov/Archives/edgar/data/1095981/000095017025062742/pstv-ex3_1.htm" TargetMode="External"/><Relationship Id="rId29" Type="http://schemas.openxmlformats.org/officeDocument/2006/relationships/hyperlink" Target="http://www.sec.gov/Archives/edgar/data/1095981/000119312526226978/pstv-ex3_8.htm" TargetMode="External"/><Relationship Id="rId30" Type="http://schemas.openxmlformats.org/officeDocument/2006/relationships/hyperlink" Target="http://www.sec.gov/Archives/edgar/data/1095981/000119312526226978/pstv-ex3_9.htm" TargetMode="External"/><Relationship Id="rId31" Type="http://schemas.openxmlformats.org/officeDocument/2006/relationships/hyperlink" Target="http://www.sec.gov/Archives/edgar/data/1095981/000156459017024297/cytx-ex31_6.htm" TargetMode="External"/><Relationship Id="rId32" Type="http://schemas.openxmlformats.org/officeDocument/2006/relationships/hyperlink" Target="http://www.sec.gov/Archives/edgar/data/1095981/000156459018017443/cytx-ex31_7.htm" TargetMode="External"/><Relationship Id="rId33" Type="http://schemas.openxmlformats.org/officeDocument/2006/relationships/hyperlink" Target="http://www.sec.gov/Archives/edgar/data/1095981/000119312521277718/d164672dex31.htm" TargetMode="External"/><Relationship Id="rId34" Type="http://schemas.openxmlformats.org/officeDocument/2006/relationships/hyperlink" Target="http://www.sec.gov/Archives/edgar/data/1095981/000156459018005136/cytx-ex433_277.htm" TargetMode="External"/><Relationship Id="rId35" Type="http://schemas.openxmlformats.org/officeDocument/2006/relationships/hyperlink" Target="http://www.sec.gov/Archives/edgar/data/1095981/000119312526008922/d12907dex44.htm" TargetMode="External"/><Relationship Id="rId37" Type="http://schemas.openxmlformats.org/officeDocument/2006/relationships/hyperlink" Target="http://www.sec.gov/Archives/edgar/data/1095981/000119312526252119/d138711dex51.htm" TargetMode="External"/><Relationship Id="rId38" Type="http://schemas.openxmlformats.org/officeDocument/2006/relationships/hyperlink" Target="http://www.sec.gov/Archives/edgar/data/1095981/000119312526252119/d138711dex52.htm" TargetMode="External"/><Relationship Id="rId39" Type="http://schemas.openxmlformats.org/officeDocument/2006/relationships/hyperlink" Target="http://www.sec.gov/Archives/edgar/data/1095981/000119312526252119/d138711dex231.htm" TargetMode="External"/><Relationship Id="rId40" Type="http://schemas.openxmlformats.org/officeDocument/2006/relationships/hyperlink" Target="http://www.sec.gov/Archives/edgar/data/1095981/000119312526252119/d138711dex232.htm" TargetMode="External"/><Relationship Id="rId41" Type="http://schemas.openxmlformats.org/officeDocument/2006/relationships/hyperlink" Target="http://www.sec.gov/Archives/edgar/data/1095981/000119312526252119/d138711ds3.htm#ii138711_1" TargetMode="External"/><Relationship Id="rId42" Type="http://schemas.openxmlformats.org/officeDocument/2006/relationships/hyperlink" Target="http://www.sec.gov/ix?doc=/Archives/edgar/data/1095981/000119312526252119/d13871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2026-06-05T06:34:16Z</dcterms:created>
  <dcterms:modified xsi:type="dcterms:W3CDTF">2026-06-05T06:34:16Z</dcterms:modified>
</cp:coreProperties>
</file>